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F6" w:rsidRDefault="00D60623" w:rsidP="009E3AE5">
      <w:pPr>
        <w:pStyle w:val="Byline"/>
        <w:jc w:val="center"/>
        <w:rPr>
          <w:rFonts w:ascii="Arial" w:hAnsi="Arial" w:cs="Arial"/>
          <w:b/>
          <w:bCs/>
          <w:sz w:val="32"/>
          <w:lang w:val="en-GB"/>
        </w:rPr>
      </w:pPr>
      <w:r w:rsidRPr="00D440C9">
        <w:rPr>
          <w:rFonts w:ascii="Arial" w:hAnsi="Arial" w:cs="Arial"/>
          <w:noProof/>
          <w:sz w:val="20"/>
          <w:lang w:val="en-GB" w:eastAsia="en-GB"/>
        </w:rPr>
        <w:drawing>
          <wp:anchor distT="0" distB="0" distL="114300" distR="114300" simplePos="0" relativeHeight="251657728" behindDoc="0" locked="0" layoutInCell="1" allowOverlap="1" wp14:anchorId="1D237A90" wp14:editId="7521B762">
            <wp:simplePos x="0" y="0"/>
            <wp:positionH relativeFrom="column">
              <wp:posOffset>-97155</wp:posOffset>
            </wp:positionH>
            <wp:positionV relativeFrom="paragraph">
              <wp:posOffset>147955</wp:posOffset>
            </wp:positionV>
            <wp:extent cx="800100" cy="800100"/>
            <wp:effectExtent l="19050" t="0" r="0" b="0"/>
            <wp:wrapTopAndBottom/>
            <wp:docPr id="2" name="Picture 57" descr="bs 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s newlogo1"/>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9E3AE5" w:rsidRPr="00D440C9" w:rsidRDefault="009E3AE5" w:rsidP="009E3AE5">
      <w:pPr>
        <w:pStyle w:val="Byline"/>
        <w:jc w:val="center"/>
        <w:rPr>
          <w:rFonts w:ascii="Arial" w:hAnsi="Arial" w:cs="Arial"/>
          <w:b/>
          <w:bCs/>
          <w:sz w:val="32"/>
          <w:lang w:val="en-GB"/>
        </w:rPr>
      </w:pPr>
    </w:p>
    <w:p w:rsidR="000433F6" w:rsidRPr="00D440C9" w:rsidRDefault="000433F6">
      <w:pPr>
        <w:pStyle w:val="Heading2"/>
        <w:jc w:val="center"/>
        <w:rPr>
          <w:rFonts w:ascii="Arial" w:hAnsi="Arial" w:cs="Arial"/>
          <w:sz w:val="32"/>
        </w:rPr>
      </w:pPr>
      <w:r w:rsidRPr="00D440C9">
        <w:rPr>
          <w:rFonts w:ascii="Arial" w:hAnsi="Arial" w:cs="Arial"/>
          <w:sz w:val="32"/>
        </w:rPr>
        <w:t>BRAEMAR SHIPPING SERVICES PLC</w:t>
      </w:r>
    </w:p>
    <w:p w:rsidR="0043068D" w:rsidRPr="00D440C9" w:rsidRDefault="0043068D" w:rsidP="00DD5A72">
      <w:pPr>
        <w:pStyle w:val="PlainText"/>
        <w:rPr>
          <w:rFonts w:ascii="Arial" w:hAnsi="Arial" w:cs="Arial"/>
          <w:b/>
          <w:sz w:val="22"/>
          <w:lang w:val="en-GB"/>
        </w:rPr>
      </w:pPr>
    </w:p>
    <w:p w:rsidR="00B07651" w:rsidRPr="00D440C9" w:rsidRDefault="002B3F24" w:rsidP="008C2DFD">
      <w:pPr>
        <w:pStyle w:val="PlainText"/>
        <w:rPr>
          <w:rFonts w:ascii="Arial" w:hAnsi="Arial" w:cs="Arial"/>
          <w:b/>
          <w:sz w:val="24"/>
          <w:szCs w:val="24"/>
          <w:lang w:val="en-GB"/>
        </w:rPr>
      </w:pPr>
      <w:r>
        <w:rPr>
          <w:rFonts w:ascii="Arial" w:hAnsi="Arial" w:cs="Arial"/>
          <w:b/>
          <w:sz w:val="24"/>
          <w:szCs w:val="24"/>
          <w:lang w:val="en-GB"/>
        </w:rPr>
        <w:t>14</w:t>
      </w:r>
      <w:r w:rsidR="00312858" w:rsidRPr="00D440C9">
        <w:rPr>
          <w:rFonts w:ascii="Arial" w:hAnsi="Arial" w:cs="Arial"/>
          <w:b/>
          <w:sz w:val="24"/>
          <w:szCs w:val="24"/>
          <w:lang w:val="en-GB"/>
        </w:rPr>
        <w:t xml:space="preserve"> May 20</w:t>
      </w:r>
      <w:r w:rsidR="004A60A3">
        <w:rPr>
          <w:rFonts w:ascii="Arial" w:hAnsi="Arial" w:cs="Arial"/>
          <w:b/>
          <w:sz w:val="24"/>
          <w:szCs w:val="24"/>
          <w:lang w:val="en-GB"/>
        </w:rPr>
        <w:t>1</w:t>
      </w:r>
      <w:r>
        <w:rPr>
          <w:rFonts w:ascii="Arial" w:hAnsi="Arial" w:cs="Arial"/>
          <w:b/>
          <w:sz w:val="24"/>
          <w:szCs w:val="24"/>
          <w:lang w:val="en-GB"/>
        </w:rPr>
        <w:t>3</w:t>
      </w:r>
    </w:p>
    <w:p w:rsidR="00FE1ABB" w:rsidRPr="00D440C9" w:rsidRDefault="00FE1ABB">
      <w:pPr>
        <w:pStyle w:val="PlainText"/>
        <w:jc w:val="center"/>
        <w:rPr>
          <w:rFonts w:ascii="Arial" w:hAnsi="Arial" w:cs="Arial"/>
          <w:b/>
          <w:sz w:val="24"/>
          <w:szCs w:val="24"/>
          <w:lang w:val="en-GB"/>
        </w:rPr>
      </w:pPr>
    </w:p>
    <w:p w:rsidR="000433F6" w:rsidRPr="00D440C9" w:rsidRDefault="00646413">
      <w:pPr>
        <w:pStyle w:val="PlainText"/>
        <w:jc w:val="center"/>
        <w:rPr>
          <w:rFonts w:ascii="Arial" w:hAnsi="Arial" w:cs="Arial"/>
          <w:sz w:val="24"/>
          <w:szCs w:val="24"/>
          <w:lang w:val="en-GB"/>
        </w:rPr>
      </w:pPr>
      <w:r>
        <w:rPr>
          <w:rFonts w:ascii="Arial" w:hAnsi="Arial" w:cs="Arial"/>
          <w:b/>
          <w:sz w:val="24"/>
          <w:szCs w:val="24"/>
          <w:lang w:val="en-GB"/>
        </w:rPr>
        <w:t>P</w:t>
      </w:r>
      <w:r w:rsidR="00312858" w:rsidRPr="00D440C9">
        <w:rPr>
          <w:rFonts w:ascii="Arial" w:hAnsi="Arial" w:cs="Arial"/>
          <w:b/>
          <w:sz w:val="24"/>
          <w:szCs w:val="24"/>
          <w:lang w:val="en-GB"/>
        </w:rPr>
        <w:t>reliminary r</w:t>
      </w:r>
      <w:r w:rsidR="000433F6" w:rsidRPr="00D440C9">
        <w:rPr>
          <w:rFonts w:ascii="Arial" w:hAnsi="Arial" w:cs="Arial"/>
          <w:b/>
          <w:sz w:val="24"/>
          <w:szCs w:val="24"/>
          <w:lang w:val="en-GB"/>
        </w:rPr>
        <w:t xml:space="preserve">esults </w:t>
      </w:r>
      <w:r w:rsidR="00312858" w:rsidRPr="00D440C9">
        <w:rPr>
          <w:rFonts w:ascii="Arial" w:hAnsi="Arial" w:cs="Arial"/>
          <w:b/>
          <w:sz w:val="24"/>
          <w:szCs w:val="24"/>
          <w:lang w:val="en-GB"/>
        </w:rPr>
        <w:t>for the y</w:t>
      </w:r>
      <w:r w:rsidR="000433F6" w:rsidRPr="00D440C9">
        <w:rPr>
          <w:rFonts w:ascii="Arial" w:hAnsi="Arial" w:cs="Arial"/>
          <w:b/>
          <w:sz w:val="24"/>
          <w:szCs w:val="24"/>
          <w:lang w:val="en-GB"/>
        </w:rPr>
        <w:t>ear ended 2</w:t>
      </w:r>
      <w:r w:rsidR="002B3F24">
        <w:rPr>
          <w:rFonts w:ascii="Arial" w:hAnsi="Arial" w:cs="Arial"/>
          <w:b/>
          <w:sz w:val="24"/>
          <w:szCs w:val="24"/>
          <w:lang w:val="en-GB"/>
        </w:rPr>
        <w:t>8</w:t>
      </w:r>
      <w:r w:rsidR="000433F6" w:rsidRPr="00D440C9">
        <w:rPr>
          <w:rFonts w:ascii="Arial" w:hAnsi="Arial" w:cs="Arial"/>
          <w:b/>
          <w:sz w:val="24"/>
          <w:szCs w:val="24"/>
          <w:lang w:val="en-GB"/>
        </w:rPr>
        <w:t xml:space="preserve"> February 20</w:t>
      </w:r>
      <w:r w:rsidR="005D5670" w:rsidRPr="00D440C9">
        <w:rPr>
          <w:rFonts w:ascii="Arial" w:hAnsi="Arial" w:cs="Arial"/>
          <w:b/>
          <w:sz w:val="24"/>
          <w:szCs w:val="24"/>
          <w:lang w:val="en-GB"/>
        </w:rPr>
        <w:t>1</w:t>
      </w:r>
      <w:r w:rsidR="002B3F24">
        <w:rPr>
          <w:rFonts w:ascii="Arial" w:hAnsi="Arial" w:cs="Arial"/>
          <w:b/>
          <w:sz w:val="24"/>
          <w:szCs w:val="24"/>
          <w:lang w:val="en-GB"/>
        </w:rPr>
        <w:t>3</w:t>
      </w:r>
    </w:p>
    <w:p w:rsidR="000433F6" w:rsidRPr="00D440C9" w:rsidRDefault="000433F6">
      <w:pPr>
        <w:pStyle w:val="BodyText2"/>
        <w:spacing w:line="240" w:lineRule="auto"/>
        <w:rPr>
          <w:szCs w:val="24"/>
        </w:rPr>
      </w:pPr>
    </w:p>
    <w:p w:rsidR="0043068D" w:rsidRPr="00D440C9" w:rsidRDefault="0043068D">
      <w:pPr>
        <w:pStyle w:val="BodyText2"/>
        <w:spacing w:line="240" w:lineRule="auto"/>
        <w:rPr>
          <w:szCs w:val="24"/>
        </w:rPr>
      </w:pPr>
    </w:p>
    <w:p w:rsidR="00224056" w:rsidRPr="00D440C9" w:rsidRDefault="000433F6" w:rsidP="00224056">
      <w:pPr>
        <w:pStyle w:val="BodyText2"/>
        <w:rPr>
          <w:rFonts w:ascii="Calibri" w:hAnsi="Calibri"/>
          <w:szCs w:val="24"/>
        </w:rPr>
      </w:pPr>
      <w:r w:rsidRPr="00D440C9">
        <w:rPr>
          <w:rFonts w:ascii="Calibri" w:hAnsi="Calibri"/>
          <w:szCs w:val="24"/>
        </w:rPr>
        <w:t xml:space="preserve">Braemar Shipping Services </w:t>
      </w:r>
      <w:proofErr w:type="spellStart"/>
      <w:r w:rsidRPr="00D440C9">
        <w:rPr>
          <w:rFonts w:ascii="Calibri" w:hAnsi="Calibri"/>
          <w:szCs w:val="24"/>
        </w:rPr>
        <w:t>plc</w:t>
      </w:r>
      <w:proofErr w:type="spellEnd"/>
      <w:r w:rsidRPr="00D440C9">
        <w:rPr>
          <w:rFonts w:ascii="Calibri" w:hAnsi="Calibri"/>
          <w:szCs w:val="24"/>
        </w:rPr>
        <w:t xml:space="preserve"> (</w:t>
      </w:r>
      <w:r w:rsidR="00312858" w:rsidRPr="00D440C9">
        <w:rPr>
          <w:rFonts w:ascii="Calibri" w:hAnsi="Calibri"/>
          <w:szCs w:val="24"/>
        </w:rPr>
        <w:t>“Braemar”</w:t>
      </w:r>
      <w:r w:rsidR="00086E2A" w:rsidRPr="00D440C9">
        <w:rPr>
          <w:rFonts w:ascii="Calibri" w:hAnsi="Calibri"/>
          <w:szCs w:val="24"/>
        </w:rPr>
        <w:t>, “the Company”</w:t>
      </w:r>
      <w:r w:rsidR="00312858" w:rsidRPr="00D440C9">
        <w:rPr>
          <w:rFonts w:ascii="Calibri" w:hAnsi="Calibri"/>
          <w:szCs w:val="24"/>
        </w:rPr>
        <w:t xml:space="preserve"> or </w:t>
      </w:r>
      <w:r w:rsidR="00EF429F">
        <w:rPr>
          <w:rFonts w:ascii="Calibri" w:hAnsi="Calibri"/>
          <w:szCs w:val="24"/>
        </w:rPr>
        <w:t>“</w:t>
      </w:r>
      <w:r w:rsidRPr="00D440C9">
        <w:rPr>
          <w:rFonts w:ascii="Calibri" w:hAnsi="Calibri"/>
          <w:szCs w:val="24"/>
        </w:rPr>
        <w:t xml:space="preserve">the Group”), a leading international provider of </w:t>
      </w:r>
      <w:r w:rsidRPr="00D440C9">
        <w:rPr>
          <w:rFonts w:ascii="Calibri" w:hAnsi="Calibri"/>
          <w:bCs/>
          <w:szCs w:val="24"/>
        </w:rPr>
        <w:t>broking, consultancy, technical and other services to the shipping and energy industries</w:t>
      </w:r>
      <w:r w:rsidRPr="00D440C9">
        <w:rPr>
          <w:rFonts w:ascii="Calibri" w:hAnsi="Calibri"/>
          <w:szCs w:val="24"/>
        </w:rPr>
        <w:t>, today announce</w:t>
      </w:r>
      <w:r w:rsidR="00312858" w:rsidRPr="00D440C9">
        <w:rPr>
          <w:rFonts w:ascii="Calibri" w:hAnsi="Calibri"/>
          <w:szCs w:val="24"/>
        </w:rPr>
        <w:t>s</w:t>
      </w:r>
      <w:r w:rsidR="00A14B07">
        <w:rPr>
          <w:rFonts w:ascii="Calibri" w:hAnsi="Calibri"/>
          <w:szCs w:val="24"/>
        </w:rPr>
        <w:t xml:space="preserve"> full year</w:t>
      </w:r>
      <w:r w:rsidR="007B202D">
        <w:rPr>
          <w:rFonts w:ascii="Calibri" w:hAnsi="Calibri"/>
          <w:szCs w:val="24"/>
        </w:rPr>
        <w:t xml:space="preserve"> </w:t>
      </w:r>
      <w:r w:rsidRPr="00D440C9">
        <w:rPr>
          <w:rFonts w:ascii="Calibri" w:hAnsi="Calibri"/>
          <w:szCs w:val="24"/>
        </w:rPr>
        <w:t>results for the year ended 2</w:t>
      </w:r>
      <w:r w:rsidR="002B3F24">
        <w:rPr>
          <w:rFonts w:ascii="Calibri" w:hAnsi="Calibri"/>
          <w:szCs w:val="24"/>
        </w:rPr>
        <w:t>8</w:t>
      </w:r>
      <w:r w:rsidR="00A819CA" w:rsidRPr="00D440C9">
        <w:rPr>
          <w:rFonts w:ascii="Calibri" w:hAnsi="Calibri"/>
          <w:szCs w:val="24"/>
        </w:rPr>
        <w:t xml:space="preserve"> February 20</w:t>
      </w:r>
      <w:r w:rsidR="005D5670" w:rsidRPr="00D440C9">
        <w:rPr>
          <w:rFonts w:ascii="Calibri" w:hAnsi="Calibri"/>
          <w:szCs w:val="24"/>
        </w:rPr>
        <w:t>1</w:t>
      </w:r>
      <w:r w:rsidR="002B3F24">
        <w:rPr>
          <w:rFonts w:ascii="Calibri" w:hAnsi="Calibri"/>
          <w:szCs w:val="24"/>
        </w:rPr>
        <w:t>3</w:t>
      </w:r>
      <w:r w:rsidR="00A819CA" w:rsidRPr="00D440C9">
        <w:rPr>
          <w:rFonts w:ascii="Calibri" w:hAnsi="Calibri"/>
          <w:szCs w:val="24"/>
        </w:rPr>
        <w:t>.</w:t>
      </w:r>
    </w:p>
    <w:p w:rsidR="008C2DFD" w:rsidRPr="00D440C9" w:rsidRDefault="008C2DFD" w:rsidP="00224056">
      <w:pPr>
        <w:pStyle w:val="BodyText2"/>
        <w:rPr>
          <w:rFonts w:ascii="Calibri" w:hAnsi="Calibri"/>
          <w:szCs w:val="24"/>
        </w:rPr>
      </w:pPr>
    </w:p>
    <w:p w:rsidR="00224056" w:rsidRPr="00D440C9" w:rsidRDefault="008F7E4D">
      <w:pPr>
        <w:pStyle w:val="Heading5"/>
        <w:spacing w:line="360" w:lineRule="auto"/>
        <w:rPr>
          <w:rFonts w:ascii="Calibri" w:hAnsi="Calibri"/>
          <w:szCs w:val="24"/>
        </w:rPr>
      </w:pPr>
      <w:r w:rsidRPr="00D440C9">
        <w:rPr>
          <w:rFonts w:ascii="Calibri" w:hAnsi="Calibri"/>
          <w:szCs w:val="24"/>
        </w:rPr>
        <w:t xml:space="preserve">FINANCIAL </w:t>
      </w:r>
      <w:r w:rsidR="000433F6" w:rsidRPr="00D440C9">
        <w:rPr>
          <w:rFonts w:ascii="Calibri" w:hAnsi="Calibri"/>
          <w:szCs w:val="24"/>
        </w:rPr>
        <w:t>HIGHLIGHTS</w:t>
      </w:r>
    </w:p>
    <w:p w:rsidR="002B3F24" w:rsidRPr="00132A04" w:rsidRDefault="009677EC" w:rsidP="002B3F24">
      <w:pPr>
        <w:numPr>
          <w:ilvl w:val="0"/>
          <w:numId w:val="2"/>
        </w:numPr>
        <w:spacing w:line="360" w:lineRule="auto"/>
        <w:rPr>
          <w:rFonts w:ascii="Calibri" w:hAnsi="Calibri" w:cs="Arial"/>
          <w:szCs w:val="24"/>
          <w:lang w:val="en-GB"/>
        </w:rPr>
      </w:pPr>
      <w:r w:rsidRPr="00132A04">
        <w:rPr>
          <w:rFonts w:ascii="Calibri" w:hAnsi="Calibri" w:cs="Arial"/>
          <w:szCs w:val="24"/>
          <w:lang w:val="en-GB"/>
        </w:rPr>
        <w:t xml:space="preserve">Revenue </w:t>
      </w:r>
      <w:r w:rsidR="00D36489">
        <w:rPr>
          <w:rFonts w:ascii="Calibri" w:hAnsi="Calibri" w:cs="Arial"/>
          <w:szCs w:val="24"/>
          <w:lang w:val="en-GB"/>
        </w:rPr>
        <w:t xml:space="preserve">up 7.7% to </w:t>
      </w:r>
      <w:r w:rsidRPr="00132A04">
        <w:rPr>
          <w:rFonts w:ascii="Calibri" w:hAnsi="Calibri" w:cs="Arial"/>
          <w:szCs w:val="24"/>
          <w:lang w:val="en-GB"/>
        </w:rPr>
        <w:t>£</w:t>
      </w:r>
      <w:r w:rsidR="00D72C0D" w:rsidRPr="00132A04">
        <w:rPr>
          <w:rFonts w:ascii="Calibri" w:hAnsi="Calibri" w:cs="Arial"/>
          <w:szCs w:val="24"/>
          <w:lang w:val="en-GB"/>
        </w:rPr>
        <w:t>1</w:t>
      </w:r>
      <w:r w:rsidR="00132A04" w:rsidRPr="00132A04">
        <w:rPr>
          <w:rFonts w:ascii="Calibri" w:hAnsi="Calibri" w:cs="Arial"/>
          <w:szCs w:val="24"/>
          <w:lang w:val="en-GB"/>
        </w:rPr>
        <w:t>43.8</w:t>
      </w:r>
      <w:r w:rsidR="007B202D" w:rsidRPr="00132A04">
        <w:rPr>
          <w:rFonts w:ascii="Calibri" w:hAnsi="Calibri" w:cs="Arial"/>
          <w:szCs w:val="24"/>
          <w:lang w:val="en-GB"/>
        </w:rPr>
        <w:t>m (201</w:t>
      </w:r>
      <w:r w:rsidR="002B3F24" w:rsidRPr="00132A04">
        <w:rPr>
          <w:rFonts w:ascii="Calibri" w:hAnsi="Calibri" w:cs="Arial"/>
          <w:szCs w:val="24"/>
          <w:lang w:val="en-GB"/>
        </w:rPr>
        <w:t>2</w:t>
      </w:r>
      <w:r w:rsidR="007B202D" w:rsidRPr="00132A04">
        <w:rPr>
          <w:rFonts w:ascii="Calibri" w:hAnsi="Calibri" w:cs="Arial"/>
          <w:szCs w:val="24"/>
          <w:lang w:val="en-GB"/>
        </w:rPr>
        <w:t>: £</w:t>
      </w:r>
      <w:r w:rsidR="004A60A3" w:rsidRPr="00132A04">
        <w:rPr>
          <w:rFonts w:ascii="Calibri" w:hAnsi="Calibri" w:cs="Arial"/>
          <w:szCs w:val="24"/>
          <w:lang w:val="en-GB"/>
        </w:rPr>
        <w:t>1</w:t>
      </w:r>
      <w:r w:rsidR="002B3F24" w:rsidRPr="00132A04">
        <w:rPr>
          <w:rFonts w:ascii="Calibri" w:hAnsi="Calibri" w:cs="Arial"/>
          <w:szCs w:val="24"/>
          <w:lang w:val="en-GB"/>
        </w:rPr>
        <w:t>33.5</w:t>
      </w:r>
      <w:r w:rsidR="007B202D" w:rsidRPr="00132A04">
        <w:rPr>
          <w:rFonts w:ascii="Calibri" w:hAnsi="Calibri" w:cs="Arial"/>
          <w:szCs w:val="24"/>
          <w:lang w:val="en-GB"/>
        </w:rPr>
        <w:t>m)</w:t>
      </w:r>
    </w:p>
    <w:p w:rsidR="00224056" w:rsidRPr="00132A04" w:rsidRDefault="002B3F24" w:rsidP="002B3F24">
      <w:pPr>
        <w:numPr>
          <w:ilvl w:val="0"/>
          <w:numId w:val="2"/>
        </w:numPr>
        <w:spacing w:line="360" w:lineRule="auto"/>
        <w:rPr>
          <w:rFonts w:ascii="Calibri" w:hAnsi="Calibri" w:cs="Arial"/>
          <w:szCs w:val="24"/>
          <w:lang w:val="en-GB"/>
        </w:rPr>
      </w:pPr>
      <w:r w:rsidRPr="00132A04">
        <w:rPr>
          <w:rFonts w:ascii="Calibri" w:hAnsi="Calibri" w:cs="Arial"/>
          <w:szCs w:val="24"/>
          <w:lang w:val="en-GB"/>
        </w:rPr>
        <w:t>P</w:t>
      </w:r>
      <w:r w:rsidR="00BE2AEA" w:rsidRPr="00132A04">
        <w:rPr>
          <w:rFonts w:ascii="Calibri" w:hAnsi="Calibri" w:cs="Arial"/>
          <w:szCs w:val="24"/>
          <w:lang w:val="en-GB"/>
        </w:rPr>
        <w:t xml:space="preserve">re-tax profit </w:t>
      </w:r>
      <w:r w:rsidR="00D36489">
        <w:rPr>
          <w:rFonts w:ascii="Calibri" w:hAnsi="Calibri" w:cs="Arial"/>
          <w:szCs w:val="24"/>
          <w:lang w:val="en-GB"/>
        </w:rPr>
        <w:t>down 5</w:t>
      </w:r>
      <w:r w:rsidR="00EA40F1">
        <w:rPr>
          <w:rFonts w:ascii="Calibri" w:hAnsi="Calibri" w:cs="Arial"/>
          <w:szCs w:val="24"/>
          <w:lang w:val="en-GB"/>
        </w:rPr>
        <w:t>.0</w:t>
      </w:r>
      <w:r w:rsidR="00D36489">
        <w:rPr>
          <w:rFonts w:ascii="Calibri" w:hAnsi="Calibri" w:cs="Arial"/>
          <w:szCs w:val="24"/>
          <w:lang w:val="en-GB"/>
        </w:rPr>
        <w:t xml:space="preserve">% to </w:t>
      </w:r>
      <w:r w:rsidR="00BE2AEA" w:rsidRPr="00132A04">
        <w:rPr>
          <w:rFonts w:ascii="Calibri" w:hAnsi="Calibri" w:cs="Arial"/>
          <w:szCs w:val="24"/>
          <w:lang w:val="en-GB"/>
        </w:rPr>
        <w:t>£</w:t>
      </w:r>
      <w:r w:rsidR="001E0682" w:rsidRPr="00132A04">
        <w:rPr>
          <w:rFonts w:ascii="Calibri" w:hAnsi="Calibri" w:cs="Arial"/>
          <w:szCs w:val="24"/>
          <w:lang w:val="en-GB"/>
        </w:rPr>
        <w:t>9.</w:t>
      </w:r>
      <w:r w:rsidR="00132A04" w:rsidRPr="00132A04">
        <w:rPr>
          <w:rFonts w:ascii="Calibri" w:hAnsi="Calibri" w:cs="Arial"/>
          <w:szCs w:val="24"/>
          <w:lang w:val="en-GB"/>
        </w:rPr>
        <w:t>3</w:t>
      </w:r>
      <w:r w:rsidR="00BE2AEA" w:rsidRPr="00132A04">
        <w:rPr>
          <w:rFonts w:ascii="Calibri" w:hAnsi="Calibri" w:cs="Arial"/>
          <w:szCs w:val="24"/>
          <w:lang w:val="en-GB"/>
        </w:rPr>
        <w:t>m (20</w:t>
      </w:r>
      <w:r w:rsidR="00452107" w:rsidRPr="00132A04">
        <w:rPr>
          <w:rFonts w:ascii="Calibri" w:hAnsi="Calibri" w:cs="Arial"/>
          <w:szCs w:val="24"/>
          <w:lang w:val="en-GB"/>
        </w:rPr>
        <w:t>1</w:t>
      </w:r>
      <w:r w:rsidR="00132A04" w:rsidRPr="00132A04">
        <w:rPr>
          <w:rFonts w:ascii="Calibri" w:hAnsi="Calibri" w:cs="Arial"/>
          <w:szCs w:val="24"/>
          <w:lang w:val="en-GB"/>
        </w:rPr>
        <w:t>2</w:t>
      </w:r>
      <w:r w:rsidR="00BE2AEA" w:rsidRPr="00132A04">
        <w:rPr>
          <w:rFonts w:ascii="Calibri" w:hAnsi="Calibri" w:cs="Arial"/>
          <w:szCs w:val="24"/>
          <w:lang w:val="en-GB"/>
        </w:rPr>
        <w:t>: £</w:t>
      </w:r>
      <w:r w:rsidR="00132A04" w:rsidRPr="00132A04">
        <w:rPr>
          <w:rFonts w:ascii="Calibri" w:hAnsi="Calibri" w:cs="Arial"/>
          <w:szCs w:val="24"/>
          <w:lang w:val="en-GB"/>
        </w:rPr>
        <w:t>9.8</w:t>
      </w:r>
      <w:r w:rsidR="00BE2AEA" w:rsidRPr="00132A04">
        <w:rPr>
          <w:rFonts w:ascii="Calibri" w:hAnsi="Calibri" w:cs="Arial"/>
          <w:szCs w:val="24"/>
          <w:lang w:val="en-GB"/>
        </w:rPr>
        <w:t>m)</w:t>
      </w:r>
    </w:p>
    <w:p w:rsidR="00F14AFD" w:rsidRPr="00132A04" w:rsidRDefault="001E0682">
      <w:pPr>
        <w:numPr>
          <w:ilvl w:val="0"/>
          <w:numId w:val="2"/>
        </w:numPr>
        <w:spacing w:line="360" w:lineRule="auto"/>
        <w:rPr>
          <w:rFonts w:ascii="Calibri" w:hAnsi="Calibri" w:cs="Arial"/>
          <w:szCs w:val="24"/>
          <w:lang w:val="en-GB"/>
        </w:rPr>
      </w:pPr>
      <w:r w:rsidRPr="00132A04">
        <w:rPr>
          <w:rFonts w:ascii="Calibri" w:hAnsi="Calibri" w:cs="Arial"/>
          <w:szCs w:val="24"/>
          <w:lang w:val="en-GB"/>
        </w:rPr>
        <w:t xml:space="preserve">Basic </w:t>
      </w:r>
      <w:r w:rsidR="00F14AFD" w:rsidRPr="00132A04">
        <w:rPr>
          <w:rFonts w:ascii="Calibri" w:hAnsi="Calibri" w:cs="Arial"/>
          <w:szCs w:val="24"/>
          <w:lang w:val="en-GB"/>
        </w:rPr>
        <w:t>EPS</w:t>
      </w:r>
      <w:r w:rsidR="00D72C0D" w:rsidRPr="00132A04">
        <w:rPr>
          <w:rFonts w:ascii="Calibri" w:hAnsi="Calibri" w:cs="Arial"/>
          <w:szCs w:val="24"/>
          <w:lang w:val="en-GB"/>
        </w:rPr>
        <w:t xml:space="preserve"> of</w:t>
      </w:r>
      <w:r w:rsidR="00F14AFD" w:rsidRPr="00132A04">
        <w:rPr>
          <w:rFonts w:ascii="Calibri" w:hAnsi="Calibri" w:cs="Arial"/>
          <w:szCs w:val="24"/>
          <w:lang w:val="en-GB"/>
        </w:rPr>
        <w:t xml:space="preserve"> </w:t>
      </w:r>
      <w:r w:rsidR="00D72C0D" w:rsidRPr="00132A04">
        <w:rPr>
          <w:rFonts w:ascii="Calibri" w:hAnsi="Calibri" w:cs="Arial"/>
          <w:szCs w:val="24"/>
          <w:lang w:val="en-GB"/>
        </w:rPr>
        <w:t>3</w:t>
      </w:r>
      <w:r w:rsidR="00132A04" w:rsidRPr="00132A04">
        <w:rPr>
          <w:rFonts w:ascii="Calibri" w:hAnsi="Calibri" w:cs="Arial"/>
          <w:szCs w:val="24"/>
          <w:lang w:val="en-GB"/>
        </w:rPr>
        <w:t>2</w:t>
      </w:r>
      <w:r w:rsidRPr="00132A04">
        <w:rPr>
          <w:rFonts w:ascii="Calibri" w:hAnsi="Calibri" w:cs="Arial"/>
          <w:szCs w:val="24"/>
          <w:lang w:val="en-GB"/>
        </w:rPr>
        <w:t>.8</w:t>
      </w:r>
      <w:r w:rsidR="00F14AFD" w:rsidRPr="00132A04">
        <w:rPr>
          <w:rFonts w:ascii="Calibri" w:hAnsi="Calibri" w:cs="Arial"/>
          <w:szCs w:val="24"/>
          <w:lang w:val="en-GB"/>
        </w:rPr>
        <w:t>p (201</w:t>
      </w:r>
      <w:r w:rsidR="00132A04" w:rsidRPr="00132A04">
        <w:rPr>
          <w:rFonts w:ascii="Calibri" w:hAnsi="Calibri" w:cs="Arial"/>
          <w:szCs w:val="24"/>
          <w:lang w:val="en-GB"/>
        </w:rPr>
        <w:t>2</w:t>
      </w:r>
      <w:r w:rsidR="00F14AFD" w:rsidRPr="00132A04">
        <w:rPr>
          <w:rFonts w:ascii="Calibri" w:hAnsi="Calibri" w:cs="Arial"/>
          <w:szCs w:val="24"/>
          <w:lang w:val="en-GB"/>
        </w:rPr>
        <w:t xml:space="preserve">: </w:t>
      </w:r>
      <w:r w:rsidR="00132A04" w:rsidRPr="00132A04">
        <w:rPr>
          <w:rFonts w:ascii="Calibri" w:hAnsi="Calibri" w:cs="Arial"/>
          <w:szCs w:val="24"/>
          <w:lang w:val="en-GB"/>
        </w:rPr>
        <w:t>33.8p</w:t>
      </w:r>
      <w:r w:rsidR="00F14AFD" w:rsidRPr="00132A04">
        <w:rPr>
          <w:rFonts w:ascii="Calibri" w:hAnsi="Calibri" w:cs="Arial"/>
          <w:szCs w:val="24"/>
          <w:lang w:val="en-GB"/>
        </w:rPr>
        <w:t>)</w:t>
      </w:r>
    </w:p>
    <w:p w:rsidR="00224056" w:rsidRPr="00132A04" w:rsidRDefault="00A131FB">
      <w:pPr>
        <w:numPr>
          <w:ilvl w:val="0"/>
          <w:numId w:val="2"/>
        </w:numPr>
        <w:spacing w:line="360" w:lineRule="auto"/>
        <w:rPr>
          <w:rFonts w:ascii="Calibri" w:hAnsi="Calibri" w:cs="Arial"/>
          <w:szCs w:val="24"/>
          <w:lang w:val="en-GB"/>
        </w:rPr>
      </w:pPr>
      <w:r w:rsidRPr="00132A04">
        <w:rPr>
          <w:rFonts w:ascii="Calibri" w:hAnsi="Calibri" w:cs="Arial"/>
          <w:szCs w:val="24"/>
          <w:lang w:val="en-GB"/>
        </w:rPr>
        <w:t>C</w:t>
      </w:r>
      <w:r w:rsidR="000433F6" w:rsidRPr="00132A04">
        <w:rPr>
          <w:rFonts w:ascii="Calibri" w:hAnsi="Calibri" w:cs="Arial"/>
          <w:szCs w:val="24"/>
          <w:lang w:val="en-GB"/>
        </w:rPr>
        <w:t>ash at 2</w:t>
      </w:r>
      <w:r w:rsidR="00132A04" w:rsidRPr="00132A04">
        <w:rPr>
          <w:rFonts w:ascii="Calibri" w:hAnsi="Calibri" w:cs="Arial"/>
          <w:szCs w:val="24"/>
          <w:lang w:val="en-GB"/>
        </w:rPr>
        <w:t>8</w:t>
      </w:r>
      <w:r w:rsidR="000433F6" w:rsidRPr="00132A04">
        <w:rPr>
          <w:rFonts w:ascii="Calibri" w:hAnsi="Calibri" w:cs="Arial"/>
          <w:szCs w:val="24"/>
          <w:lang w:val="en-GB"/>
        </w:rPr>
        <w:t xml:space="preserve"> February 20</w:t>
      </w:r>
      <w:r w:rsidR="005D5670" w:rsidRPr="00132A04">
        <w:rPr>
          <w:rFonts w:ascii="Calibri" w:hAnsi="Calibri" w:cs="Arial"/>
          <w:szCs w:val="24"/>
          <w:lang w:val="en-GB"/>
        </w:rPr>
        <w:t>1</w:t>
      </w:r>
      <w:r w:rsidR="00132A04" w:rsidRPr="00132A04">
        <w:rPr>
          <w:rFonts w:ascii="Calibri" w:hAnsi="Calibri" w:cs="Arial"/>
          <w:szCs w:val="24"/>
          <w:lang w:val="en-GB"/>
        </w:rPr>
        <w:t>3</w:t>
      </w:r>
      <w:r w:rsidR="000433F6" w:rsidRPr="00132A04">
        <w:rPr>
          <w:rFonts w:ascii="Calibri" w:hAnsi="Calibri" w:cs="Arial"/>
          <w:szCs w:val="24"/>
          <w:lang w:val="en-GB"/>
        </w:rPr>
        <w:t>: £</w:t>
      </w:r>
      <w:r w:rsidR="00132A04" w:rsidRPr="00132A04">
        <w:rPr>
          <w:rFonts w:ascii="Calibri" w:hAnsi="Calibri" w:cs="Arial"/>
          <w:szCs w:val="24"/>
          <w:lang w:val="en-GB"/>
        </w:rPr>
        <w:t>23.</w:t>
      </w:r>
      <w:r w:rsidR="00D36489">
        <w:rPr>
          <w:rFonts w:ascii="Calibri" w:hAnsi="Calibri" w:cs="Arial"/>
          <w:szCs w:val="24"/>
          <w:lang w:val="en-GB"/>
        </w:rPr>
        <w:t>3</w:t>
      </w:r>
      <w:r w:rsidR="000433F6" w:rsidRPr="00132A04">
        <w:rPr>
          <w:rFonts w:ascii="Calibri" w:hAnsi="Calibri" w:cs="Arial"/>
          <w:szCs w:val="24"/>
          <w:lang w:val="en-GB"/>
        </w:rPr>
        <w:t>m (2</w:t>
      </w:r>
      <w:r w:rsidR="00132A04" w:rsidRPr="00132A04">
        <w:rPr>
          <w:rFonts w:ascii="Calibri" w:hAnsi="Calibri" w:cs="Arial"/>
          <w:szCs w:val="24"/>
          <w:lang w:val="en-GB"/>
        </w:rPr>
        <w:t>9</w:t>
      </w:r>
      <w:r w:rsidR="000433F6" w:rsidRPr="00132A04">
        <w:rPr>
          <w:rFonts w:ascii="Calibri" w:hAnsi="Calibri" w:cs="Arial"/>
          <w:szCs w:val="24"/>
          <w:lang w:val="en-GB"/>
        </w:rPr>
        <w:t xml:space="preserve"> Feb 20</w:t>
      </w:r>
      <w:r w:rsidR="00452107" w:rsidRPr="00132A04">
        <w:rPr>
          <w:rFonts w:ascii="Calibri" w:hAnsi="Calibri" w:cs="Arial"/>
          <w:szCs w:val="24"/>
          <w:lang w:val="en-GB"/>
        </w:rPr>
        <w:t>1</w:t>
      </w:r>
      <w:r w:rsidR="00132A04" w:rsidRPr="00132A04">
        <w:rPr>
          <w:rFonts w:ascii="Calibri" w:hAnsi="Calibri" w:cs="Arial"/>
          <w:szCs w:val="24"/>
          <w:lang w:val="en-GB"/>
        </w:rPr>
        <w:t>2</w:t>
      </w:r>
      <w:r w:rsidR="000433F6" w:rsidRPr="00132A04">
        <w:rPr>
          <w:rFonts w:ascii="Calibri" w:hAnsi="Calibri" w:cs="Arial"/>
          <w:szCs w:val="24"/>
          <w:lang w:val="en-GB"/>
        </w:rPr>
        <w:t>: £</w:t>
      </w:r>
      <w:r w:rsidR="00132A04" w:rsidRPr="00132A04">
        <w:rPr>
          <w:rFonts w:ascii="Calibri" w:hAnsi="Calibri" w:cs="Arial"/>
          <w:szCs w:val="24"/>
          <w:lang w:val="en-GB"/>
        </w:rPr>
        <w:t>17.5</w:t>
      </w:r>
      <w:r w:rsidR="000433F6" w:rsidRPr="00132A04">
        <w:rPr>
          <w:rFonts w:ascii="Calibri" w:hAnsi="Calibri" w:cs="Arial"/>
          <w:szCs w:val="24"/>
          <w:lang w:val="en-GB"/>
        </w:rPr>
        <w:t>m)</w:t>
      </w:r>
    </w:p>
    <w:p w:rsidR="00224056" w:rsidRPr="0053603B" w:rsidRDefault="00D36489" w:rsidP="0053603B">
      <w:pPr>
        <w:pStyle w:val="ListParagraph"/>
        <w:numPr>
          <w:ilvl w:val="0"/>
          <w:numId w:val="29"/>
        </w:numPr>
        <w:spacing w:line="360" w:lineRule="auto"/>
        <w:rPr>
          <w:rFonts w:ascii="Calibri" w:hAnsi="Calibri" w:cs="Arial"/>
          <w:szCs w:val="24"/>
          <w:lang w:val="en-GB"/>
        </w:rPr>
      </w:pPr>
      <w:r w:rsidRPr="0053603B">
        <w:rPr>
          <w:rFonts w:ascii="Calibri" w:hAnsi="Calibri" w:cs="Arial"/>
          <w:szCs w:val="24"/>
          <w:lang w:val="en-GB"/>
        </w:rPr>
        <w:t>F</w:t>
      </w:r>
      <w:r w:rsidR="000433F6" w:rsidRPr="0053603B">
        <w:rPr>
          <w:rFonts w:ascii="Calibri" w:hAnsi="Calibri" w:cs="Arial"/>
          <w:szCs w:val="24"/>
          <w:lang w:val="en-GB"/>
        </w:rPr>
        <w:t xml:space="preserve">inal dividend </w:t>
      </w:r>
      <w:r w:rsidRPr="0053603B">
        <w:rPr>
          <w:rFonts w:ascii="Calibri" w:hAnsi="Calibri" w:cs="Arial"/>
          <w:szCs w:val="24"/>
          <w:lang w:val="en-GB"/>
        </w:rPr>
        <w:t xml:space="preserve">maintained at </w:t>
      </w:r>
      <w:r w:rsidR="00FF23D0" w:rsidRPr="0053603B">
        <w:rPr>
          <w:rFonts w:ascii="Calibri" w:hAnsi="Calibri" w:cs="Arial"/>
          <w:szCs w:val="24"/>
          <w:lang w:val="en-GB"/>
        </w:rPr>
        <w:t>17.0</w:t>
      </w:r>
      <w:r w:rsidR="004A60A3" w:rsidRPr="0053603B">
        <w:rPr>
          <w:rFonts w:ascii="Calibri" w:hAnsi="Calibri" w:cs="Arial"/>
          <w:szCs w:val="24"/>
          <w:lang w:val="en-GB"/>
        </w:rPr>
        <w:t>p per share</w:t>
      </w:r>
      <w:r w:rsidR="00A819CA" w:rsidRPr="0053603B">
        <w:rPr>
          <w:rFonts w:ascii="Calibri" w:hAnsi="Calibri" w:cs="Arial"/>
          <w:szCs w:val="24"/>
          <w:lang w:val="en-GB"/>
        </w:rPr>
        <w:t>, full year</w:t>
      </w:r>
      <w:r w:rsidR="00766B9B" w:rsidRPr="0053603B">
        <w:rPr>
          <w:rFonts w:ascii="Calibri" w:hAnsi="Calibri" w:cs="Arial"/>
          <w:szCs w:val="24"/>
          <w:lang w:val="en-GB"/>
        </w:rPr>
        <w:t xml:space="preserve"> </w:t>
      </w:r>
      <w:r w:rsidR="00645336" w:rsidRPr="0053603B">
        <w:rPr>
          <w:rFonts w:ascii="Calibri" w:hAnsi="Calibri" w:cs="Arial"/>
          <w:szCs w:val="24"/>
          <w:lang w:val="en-GB"/>
        </w:rPr>
        <w:t>2</w:t>
      </w:r>
      <w:r w:rsidR="00360D8C" w:rsidRPr="0053603B">
        <w:rPr>
          <w:rFonts w:ascii="Calibri" w:hAnsi="Calibri" w:cs="Arial"/>
          <w:szCs w:val="24"/>
          <w:lang w:val="en-GB"/>
        </w:rPr>
        <w:t>6</w:t>
      </w:r>
      <w:r w:rsidR="00645336" w:rsidRPr="0053603B">
        <w:rPr>
          <w:rFonts w:ascii="Calibri" w:hAnsi="Calibri" w:cs="Arial"/>
          <w:szCs w:val="24"/>
          <w:lang w:val="en-GB"/>
        </w:rPr>
        <w:t>.</w:t>
      </w:r>
      <w:r w:rsidR="00360D8C" w:rsidRPr="0053603B">
        <w:rPr>
          <w:rFonts w:ascii="Calibri" w:hAnsi="Calibri" w:cs="Arial"/>
          <w:szCs w:val="24"/>
          <w:lang w:val="en-GB"/>
        </w:rPr>
        <w:t>0</w:t>
      </w:r>
      <w:r w:rsidR="00A819CA" w:rsidRPr="0053603B">
        <w:rPr>
          <w:rFonts w:ascii="Calibri" w:hAnsi="Calibri" w:cs="Arial"/>
          <w:szCs w:val="24"/>
          <w:lang w:val="en-GB"/>
        </w:rPr>
        <w:t>p (20</w:t>
      </w:r>
      <w:r w:rsidR="00645336" w:rsidRPr="0053603B">
        <w:rPr>
          <w:rFonts w:ascii="Calibri" w:hAnsi="Calibri" w:cs="Arial"/>
          <w:szCs w:val="24"/>
          <w:lang w:val="en-GB"/>
        </w:rPr>
        <w:t>1</w:t>
      </w:r>
      <w:r w:rsidR="00132A04" w:rsidRPr="0053603B">
        <w:rPr>
          <w:rFonts w:ascii="Calibri" w:hAnsi="Calibri" w:cs="Arial"/>
          <w:szCs w:val="24"/>
          <w:lang w:val="en-GB"/>
        </w:rPr>
        <w:t>2</w:t>
      </w:r>
      <w:r w:rsidR="00A819CA" w:rsidRPr="0053603B">
        <w:rPr>
          <w:rFonts w:ascii="Calibri" w:hAnsi="Calibri" w:cs="Arial"/>
          <w:szCs w:val="24"/>
          <w:lang w:val="en-GB"/>
        </w:rPr>
        <w:t>: 2</w:t>
      </w:r>
      <w:r w:rsidR="004A60A3" w:rsidRPr="0053603B">
        <w:rPr>
          <w:rFonts w:ascii="Calibri" w:hAnsi="Calibri" w:cs="Arial"/>
          <w:szCs w:val="24"/>
          <w:lang w:val="en-GB"/>
        </w:rPr>
        <w:t>6</w:t>
      </w:r>
      <w:r w:rsidR="00A819CA" w:rsidRPr="0053603B">
        <w:rPr>
          <w:rFonts w:ascii="Calibri" w:hAnsi="Calibri" w:cs="Arial"/>
          <w:szCs w:val="24"/>
          <w:lang w:val="en-GB"/>
        </w:rPr>
        <w:t>.0p)</w:t>
      </w:r>
      <w:r w:rsidR="001E0682" w:rsidRPr="0053603B">
        <w:rPr>
          <w:rFonts w:ascii="Calibri" w:hAnsi="Calibri" w:cs="Arial"/>
          <w:szCs w:val="24"/>
          <w:lang w:val="en-GB"/>
        </w:rPr>
        <w:t>, covered 1.5 times by earnings</w:t>
      </w:r>
      <w:r w:rsidR="00584340" w:rsidRPr="0053603B">
        <w:rPr>
          <w:rFonts w:ascii="Calibri" w:hAnsi="Calibri" w:cs="Arial"/>
          <w:szCs w:val="24"/>
          <w:lang w:val="en-GB"/>
        </w:rPr>
        <w:t xml:space="preserve"> before </w:t>
      </w:r>
      <w:r w:rsidR="00D15AEB" w:rsidRPr="0053603B">
        <w:rPr>
          <w:rFonts w:ascii="Calibri" w:hAnsi="Calibri" w:cs="Arial"/>
          <w:szCs w:val="24"/>
          <w:lang w:val="en-GB"/>
        </w:rPr>
        <w:t>acquisition</w:t>
      </w:r>
      <w:r w:rsidR="0053603B">
        <w:rPr>
          <w:rFonts w:ascii="Calibri" w:hAnsi="Calibri" w:cs="Arial"/>
          <w:szCs w:val="24"/>
          <w:lang w:val="en-GB"/>
        </w:rPr>
        <w:t xml:space="preserve"> related</w:t>
      </w:r>
      <w:r w:rsidR="00D15AEB" w:rsidRPr="0053603B">
        <w:rPr>
          <w:rFonts w:ascii="Calibri" w:hAnsi="Calibri" w:cs="Arial"/>
          <w:szCs w:val="24"/>
          <w:lang w:val="en-GB"/>
        </w:rPr>
        <w:t xml:space="preserve"> </w:t>
      </w:r>
      <w:r w:rsidR="00584340" w:rsidRPr="0053603B">
        <w:rPr>
          <w:rFonts w:ascii="Calibri" w:hAnsi="Calibri" w:cs="Arial"/>
          <w:szCs w:val="24"/>
          <w:lang w:val="en-GB"/>
        </w:rPr>
        <w:t>amortisation</w:t>
      </w:r>
    </w:p>
    <w:p w:rsidR="00224056" w:rsidRPr="00D440C9" w:rsidRDefault="00224056">
      <w:pPr>
        <w:pStyle w:val="PlainText"/>
        <w:spacing w:line="360" w:lineRule="auto"/>
        <w:jc w:val="both"/>
        <w:rPr>
          <w:rFonts w:ascii="Calibri" w:hAnsi="Calibri" w:cs="Arial"/>
          <w:sz w:val="24"/>
          <w:szCs w:val="24"/>
          <w:lang w:val="en-GB"/>
        </w:rPr>
      </w:pPr>
    </w:p>
    <w:p w:rsidR="00224056" w:rsidRPr="00D440C9" w:rsidRDefault="0043068D">
      <w:pPr>
        <w:pStyle w:val="PlainText"/>
        <w:spacing w:line="360" w:lineRule="auto"/>
        <w:jc w:val="both"/>
        <w:rPr>
          <w:rFonts w:ascii="Calibri" w:hAnsi="Calibri" w:cs="Arial"/>
          <w:b/>
          <w:sz w:val="24"/>
          <w:szCs w:val="24"/>
          <w:lang w:val="en-GB"/>
        </w:rPr>
      </w:pPr>
      <w:r w:rsidRPr="00D440C9">
        <w:rPr>
          <w:rFonts w:ascii="Calibri" w:hAnsi="Calibri" w:cs="Arial"/>
          <w:b/>
          <w:sz w:val="24"/>
          <w:szCs w:val="24"/>
          <w:lang w:val="en-GB"/>
        </w:rPr>
        <w:t>OPERATIONAL</w:t>
      </w:r>
      <w:r w:rsidR="008F7E4D" w:rsidRPr="00D440C9">
        <w:rPr>
          <w:rFonts w:ascii="Calibri" w:hAnsi="Calibri" w:cs="Arial"/>
          <w:b/>
          <w:sz w:val="24"/>
          <w:szCs w:val="24"/>
          <w:lang w:val="en-GB"/>
        </w:rPr>
        <w:t xml:space="preserve"> HIGHLIGHTS</w:t>
      </w:r>
    </w:p>
    <w:p w:rsidR="008E2AD1" w:rsidRDefault="008E2AD1" w:rsidP="008E2AD1">
      <w:pPr>
        <w:numPr>
          <w:ilvl w:val="0"/>
          <w:numId w:val="2"/>
        </w:numPr>
        <w:spacing w:line="360" w:lineRule="auto"/>
        <w:jc w:val="both"/>
        <w:rPr>
          <w:rFonts w:ascii="Calibri" w:hAnsi="Calibri" w:cs="Arial"/>
          <w:szCs w:val="24"/>
          <w:lang w:val="en-GB"/>
        </w:rPr>
      </w:pPr>
      <w:r w:rsidRPr="002B0CA2">
        <w:rPr>
          <w:rFonts w:ascii="Calibri" w:hAnsi="Calibri" w:cs="Arial"/>
          <w:szCs w:val="24"/>
          <w:lang w:val="en-GB"/>
        </w:rPr>
        <w:t xml:space="preserve">Good performance in </w:t>
      </w:r>
      <w:proofErr w:type="spellStart"/>
      <w:r>
        <w:rPr>
          <w:rFonts w:ascii="Calibri" w:hAnsi="Calibri" w:cs="Arial"/>
          <w:szCs w:val="24"/>
          <w:lang w:val="en-GB"/>
        </w:rPr>
        <w:t>S</w:t>
      </w:r>
      <w:r w:rsidRPr="002B0CA2">
        <w:rPr>
          <w:rFonts w:ascii="Calibri" w:hAnsi="Calibri" w:cs="Arial"/>
          <w:szCs w:val="24"/>
          <w:lang w:val="en-GB"/>
        </w:rPr>
        <w:t>hipbroking</w:t>
      </w:r>
      <w:proofErr w:type="spellEnd"/>
      <w:r w:rsidRPr="002B0CA2">
        <w:rPr>
          <w:rFonts w:ascii="Calibri" w:hAnsi="Calibri" w:cs="Arial"/>
          <w:szCs w:val="24"/>
          <w:lang w:val="en-GB"/>
        </w:rPr>
        <w:t xml:space="preserve"> </w:t>
      </w:r>
      <w:r>
        <w:rPr>
          <w:rFonts w:ascii="Calibri" w:hAnsi="Calibri" w:cs="Arial"/>
          <w:szCs w:val="24"/>
          <w:lang w:val="en-GB"/>
        </w:rPr>
        <w:t>in a</w:t>
      </w:r>
      <w:r w:rsidRPr="002B0CA2">
        <w:rPr>
          <w:rFonts w:ascii="Calibri" w:hAnsi="Calibri" w:cs="Arial"/>
          <w:szCs w:val="24"/>
          <w:lang w:val="en-GB"/>
        </w:rPr>
        <w:t xml:space="preserve"> challenging market</w:t>
      </w:r>
    </w:p>
    <w:p w:rsidR="00D36489" w:rsidRPr="00D36489" w:rsidRDefault="00D36489" w:rsidP="00D36489">
      <w:pPr>
        <w:numPr>
          <w:ilvl w:val="0"/>
          <w:numId w:val="2"/>
        </w:numPr>
        <w:spacing w:line="360" w:lineRule="auto"/>
        <w:jc w:val="both"/>
        <w:rPr>
          <w:rFonts w:ascii="Calibri" w:hAnsi="Calibri" w:cs="Arial"/>
          <w:szCs w:val="24"/>
          <w:lang w:val="en-GB"/>
        </w:rPr>
      </w:pPr>
      <w:r>
        <w:rPr>
          <w:rFonts w:ascii="Calibri" w:hAnsi="Calibri" w:cs="Arial"/>
          <w:szCs w:val="24"/>
          <w:lang w:val="en-GB"/>
        </w:rPr>
        <w:t xml:space="preserve">The </w:t>
      </w:r>
      <w:r w:rsidRPr="002B0CA2">
        <w:rPr>
          <w:rFonts w:ascii="Calibri" w:hAnsi="Calibri" w:cs="Arial"/>
          <w:szCs w:val="24"/>
          <w:lang w:val="en-GB"/>
        </w:rPr>
        <w:t>Technical, Logistics and Environmental divisions now account for over 60% of divisional operating profit</w:t>
      </w:r>
      <w:r w:rsidR="00830D3A">
        <w:rPr>
          <w:rFonts w:ascii="Calibri" w:hAnsi="Calibri" w:cs="Arial"/>
          <w:szCs w:val="24"/>
          <w:lang w:val="en-GB"/>
        </w:rPr>
        <w:t xml:space="preserve"> (2012:</w:t>
      </w:r>
      <w:r w:rsidR="00496A9C">
        <w:rPr>
          <w:rFonts w:ascii="Calibri" w:hAnsi="Calibri" w:cs="Arial"/>
          <w:szCs w:val="24"/>
          <w:lang w:val="en-GB"/>
        </w:rPr>
        <w:t xml:space="preserve"> </w:t>
      </w:r>
      <w:r w:rsidR="00830D3A">
        <w:rPr>
          <w:rFonts w:ascii="Calibri" w:hAnsi="Calibri" w:cs="Arial"/>
          <w:szCs w:val="24"/>
          <w:lang w:val="en-GB"/>
        </w:rPr>
        <w:t>44%)</w:t>
      </w:r>
    </w:p>
    <w:p w:rsidR="00F14AFD" w:rsidRDefault="002C6413" w:rsidP="002B0CA2">
      <w:pPr>
        <w:numPr>
          <w:ilvl w:val="0"/>
          <w:numId w:val="2"/>
        </w:numPr>
        <w:spacing w:line="360" w:lineRule="auto"/>
        <w:jc w:val="both"/>
        <w:rPr>
          <w:rFonts w:ascii="Calibri" w:hAnsi="Calibri" w:cs="Arial"/>
          <w:szCs w:val="24"/>
          <w:lang w:val="en-GB"/>
        </w:rPr>
      </w:pPr>
      <w:r w:rsidRPr="002B0CA2">
        <w:rPr>
          <w:rFonts w:ascii="Calibri" w:hAnsi="Calibri" w:cs="Arial"/>
          <w:szCs w:val="24"/>
          <w:lang w:val="en-GB"/>
        </w:rPr>
        <w:t xml:space="preserve">88% growth in divisional operating profit </w:t>
      </w:r>
      <w:r w:rsidR="002B0CA2">
        <w:rPr>
          <w:rFonts w:ascii="Calibri" w:hAnsi="Calibri" w:cs="Arial"/>
          <w:szCs w:val="24"/>
          <w:lang w:val="en-GB"/>
        </w:rPr>
        <w:t xml:space="preserve">from Braemar Technical Services </w:t>
      </w:r>
      <w:r w:rsidRPr="002B0CA2">
        <w:rPr>
          <w:rFonts w:ascii="Calibri" w:hAnsi="Calibri" w:cs="Arial"/>
          <w:szCs w:val="24"/>
          <w:lang w:val="en-GB"/>
        </w:rPr>
        <w:t xml:space="preserve">driven by a strong performance in </w:t>
      </w:r>
      <w:r w:rsidR="007034E8">
        <w:rPr>
          <w:rFonts w:ascii="Calibri" w:hAnsi="Calibri" w:cs="Arial"/>
          <w:szCs w:val="24"/>
          <w:lang w:val="en-GB"/>
        </w:rPr>
        <w:t>Braemar</w:t>
      </w:r>
      <w:r w:rsidRPr="002B0CA2">
        <w:rPr>
          <w:rFonts w:ascii="Calibri" w:hAnsi="Calibri" w:cs="Arial"/>
          <w:szCs w:val="24"/>
          <w:lang w:val="en-GB"/>
        </w:rPr>
        <w:t xml:space="preserve"> Offshore</w:t>
      </w:r>
    </w:p>
    <w:p w:rsidR="002B0CA2" w:rsidRPr="002B0CA2" w:rsidRDefault="002B0CA2" w:rsidP="002B0CA2">
      <w:pPr>
        <w:numPr>
          <w:ilvl w:val="0"/>
          <w:numId w:val="2"/>
        </w:numPr>
        <w:spacing w:line="360" w:lineRule="auto"/>
        <w:jc w:val="both"/>
        <w:rPr>
          <w:rFonts w:ascii="Calibri" w:hAnsi="Calibri" w:cs="Arial"/>
          <w:szCs w:val="24"/>
          <w:lang w:val="en-GB"/>
        </w:rPr>
      </w:pPr>
      <w:r>
        <w:rPr>
          <w:rFonts w:ascii="Calibri" w:hAnsi="Calibri" w:cs="Arial"/>
          <w:szCs w:val="24"/>
          <w:lang w:val="en-GB"/>
        </w:rPr>
        <w:t xml:space="preserve">Improved operating profit in the Logistics division with excellent progress in </w:t>
      </w:r>
      <w:r w:rsidR="00830D3A">
        <w:rPr>
          <w:rFonts w:ascii="Calibri" w:hAnsi="Calibri" w:cs="Arial"/>
          <w:szCs w:val="24"/>
          <w:lang w:val="en-GB"/>
        </w:rPr>
        <w:t xml:space="preserve">the </w:t>
      </w:r>
      <w:r w:rsidR="007034E8">
        <w:rPr>
          <w:rFonts w:ascii="Calibri" w:hAnsi="Calibri" w:cs="Arial"/>
          <w:szCs w:val="24"/>
          <w:lang w:val="en-GB"/>
        </w:rPr>
        <w:t>Ship</w:t>
      </w:r>
      <w:r w:rsidR="00830D3A">
        <w:rPr>
          <w:rFonts w:ascii="Calibri" w:hAnsi="Calibri" w:cs="Arial"/>
          <w:szCs w:val="24"/>
          <w:lang w:val="en-GB"/>
        </w:rPr>
        <w:t xml:space="preserve"> </w:t>
      </w:r>
      <w:r>
        <w:rPr>
          <w:rFonts w:ascii="Calibri" w:hAnsi="Calibri" w:cs="Arial"/>
          <w:szCs w:val="24"/>
          <w:lang w:val="en-GB"/>
        </w:rPr>
        <w:t>Agency</w:t>
      </w:r>
      <w:r w:rsidR="00830D3A">
        <w:rPr>
          <w:rFonts w:ascii="Calibri" w:hAnsi="Calibri" w:cs="Arial"/>
          <w:szCs w:val="24"/>
          <w:lang w:val="en-GB"/>
        </w:rPr>
        <w:t xml:space="preserve"> business</w:t>
      </w:r>
    </w:p>
    <w:p w:rsidR="00C2266E" w:rsidRPr="002B0CA2" w:rsidRDefault="00C2266E" w:rsidP="002B0CA2">
      <w:pPr>
        <w:numPr>
          <w:ilvl w:val="0"/>
          <w:numId w:val="2"/>
        </w:numPr>
        <w:spacing w:line="360" w:lineRule="auto"/>
        <w:jc w:val="both"/>
        <w:rPr>
          <w:rFonts w:ascii="Calibri" w:hAnsi="Calibri" w:cs="Arial"/>
          <w:szCs w:val="24"/>
          <w:lang w:val="en-GB"/>
        </w:rPr>
      </w:pPr>
      <w:r w:rsidRPr="002B0CA2">
        <w:rPr>
          <w:rFonts w:ascii="Calibri" w:hAnsi="Calibri" w:cs="Arial"/>
          <w:szCs w:val="24"/>
          <w:lang w:val="en-GB"/>
        </w:rPr>
        <w:t xml:space="preserve">Significant role </w:t>
      </w:r>
      <w:r w:rsidR="000236F5" w:rsidRPr="002B0CA2">
        <w:rPr>
          <w:rFonts w:ascii="Calibri" w:hAnsi="Calibri" w:cs="Arial"/>
          <w:szCs w:val="24"/>
          <w:lang w:val="en-GB"/>
        </w:rPr>
        <w:t xml:space="preserve">played by the Environmental division </w:t>
      </w:r>
      <w:r w:rsidR="002C6413" w:rsidRPr="002B0CA2">
        <w:rPr>
          <w:rFonts w:ascii="Calibri" w:hAnsi="Calibri" w:cs="Arial"/>
          <w:szCs w:val="24"/>
          <w:lang w:val="en-GB"/>
        </w:rPr>
        <w:t xml:space="preserve">concluding the work on </w:t>
      </w:r>
      <w:r w:rsidRPr="002B0CA2">
        <w:rPr>
          <w:rFonts w:ascii="Calibri" w:hAnsi="Calibri" w:cs="Arial"/>
          <w:szCs w:val="24"/>
          <w:lang w:val="en-GB"/>
        </w:rPr>
        <w:t xml:space="preserve">the stricken </w:t>
      </w:r>
      <w:r w:rsidRPr="002B0CA2">
        <w:rPr>
          <w:rFonts w:ascii="Calibri" w:hAnsi="Calibri" w:cs="Arial"/>
          <w:i/>
          <w:szCs w:val="24"/>
          <w:lang w:val="en-GB"/>
        </w:rPr>
        <w:t>R</w:t>
      </w:r>
      <w:r w:rsidR="00D06970" w:rsidRPr="002B0CA2">
        <w:rPr>
          <w:rFonts w:ascii="Calibri" w:hAnsi="Calibri" w:cs="Arial"/>
          <w:i/>
          <w:szCs w:val="24"/>
          <w:lang w:val="en-GB"/>
        </w:rPr>
        <w:t>ENA</w:t>
      </w:r>
      <w:r w:rsidRPr="002B0CA2">
        <w:rPr>
          <w:rFonts w:ascii="Calibri" w:hAnsi="Calibri" w:cs="Arial"/>
          <w:szCs w:val="24"/>
          <w:lang w:val="en-GB"/>
        </w:rPr>
        <w:t xml:space="preserve"> in New Zealand</w:t>
      </w:r>
    </w:p>
    <w:p w:rsidR="009E3AE5" w:rsidRDefault="009E3AE5">
      <w:pPr>
        <w:pStyle w:val="PlainText"/>
        <w:spacing w:line="360" w:lineRule="auto"/>
        <w:jc w:val="both"/>
        <w:rPr>
          <w:rFonts w:ascii="Calibri" w:hAnsi="Calibri" w:cs="Arial"/>
          <w:sz w:val="24"/>
          <w:szCs w:val="24"/>
          <w:lang w:val="en-GB"/>
        </w:rPr>
      </w:pPr>
    </w:p>
    <w:p w:rsidR="00224056" w:rsidRDefault="002B0CA2">
      <w:pPr>
        <w:pStyle w:val="PlainText"/>
        <w:spacing w:line="360" w:lineRule="auto"/>
        <w:jc w:val="both"/>
        <w:rPr>
          <w:rFonts w:ascii="Calibri" w:hAnsi="Calibri" w:cs="Arial"/>
          <w:sz w:val="24"/>
          <w:szCs w:val="24"/>
          <w:lang w:val="en-GB"/>
        </w:rPr>
      </w:pPr>
      <w:r>
        <w:rPr>
          <w:rFonts w:ascii="Calibri" w:hAnsi="Calibri" w:cs="Arial"/>
          <w:sz w:val="24"/>
          <w:szCs w:val="24"/>
          <w:lang w:val="en-GB"/>
        </w:rPr>
        <w:lastRenderedPageBreak/>
        <w:t>James Kidwell</w:t>
      </w:r>
      <w:r w:rsidR="000433F6" w:rsidRPr="00D440C9">
        <w:rPr>
          <w:rFonts w:ascii="Calibri" w:hAnsi="Calibri" w:cs="Arial"/>
          <w:sz w:val="24"/>
          <w:szCs w:val="24"/>
          <w:lang w:val="en-GB"/>
        </w:rPr>
        <w:t xml:space="preserve">, </w:t>
      </w:r>
      <w:r w:rsidR="00830D3A">
        <w:rPr>
          <w:rFonts w:ascii="Calibri" w:hAnsi="Calibri" w:cs="Arial"/>
          <w:sz w:val="24"/>
          <w:szCs w:val="24"/>
          <w:lang w:val="en-GB"/>
        </w:rPr>
        <w:t>c</w:t>
      </w:r>
      <w:r>
        <w:rPr>
          <w:rFonts w:ascii="Calibri" w:hAnsi="Calibri" w:cs="Arial"/>
          <w:sz w:val="24"/>
          <w:szCs w:val="24"/>
          <w:lang w:val="en-GB"/>
        </w:rPr>
        <w:t xml:space="preserve">hief </w:t>
      </w:r>
      <w:r w:rsidR="00830D3A">
        <w:rPr>
          <w:rFonts w:ascii="Calibri" w:hAnsi="Calibri" w:cs="Arial"/>
          <w:sz w:val="24"/>
          <w:szCs w:val="24"/>
          <w:lang w:val="en-GB"/>
        </w:rPr>
        <w:t>e</w:t>
      </w:r>
      <w:r>
        <w:rPr>
          <w:rFonts w:ascii="Calibri" w:hAnsi="Calibri" w:cs="Arial"/>
          <w:sz w:val="24"/>
          <w:szCs w:val="24"/>
          <w:lang w:val="en-GB"/>
        </w:rPr>
        <w:t xml:space="preserve">xecutive </w:t>
      </w:r>
      <w:r w:rsidR="0053754B" w:rsidRPr="00D440C9">
        <w:rPr>
          <w:rFonts w:ascii="Calibri" w:hAnsi="Calibri" w:cs="Arial"/>
          <w:sz w:val="24"/>
          <w:szCs w:val="24"/>
          <w:lang w:val="en-GB"/>
        </w:rPr>
        <w:t>of Braemar</w:t>
      </w:r>
      <w:r w:rsidR="000578A5" w:rsidRPr="00D440C9">
        <w:rPr>
          <w:rFonts w:ascii="Calibri" w:hAnsi="Calibri" w:cs="Arial"/>
          <w:sz w:val="24"/>
          <w:szCs w:val="24"/>
          <w:lang w:val="en-GB"/>
        </w:rPr>
        <w:t xml:space="preserve"> Shipping Services </w:t>
      </w:r>
      <w:proofErr w:type="spellStart"/>
      <w:r w:rsidR="00962169">
        <w:rPr>
          <w:rFonts w:ascii="Calibri" w:hAnsi="Calibri" w:cs="Arial"/>
          <w:sz w:val="24"/>
          <w:szCs w:val="24"/>
          <w:lang w:val="en-GB"/>
        </w:rPr>
        <w:t>plc</w:t>
      </w:r>
      <w:proofErr w:type="spellEnd"/>
      <w:r w:rsidR="000433F6" w:rsidRPr="00D440C9">
        <w:rPr>
          <w:rFonts w:ascii="Calibri" w:hAnsi="Calibri" w:cs="Arial"/>
          <w:sz w:val="24"/>
          <w:szCs w:val="24"/>
          <w:lang w:val="en-GB"/>
        </w:rPr>
        <w:t>, said:</w:t>
      </w:r>
    </w:p>
    <w:p w:rsidR="007757E6" w:rsidRDefault="007757E6" w:rsidP="003778F6">
      <w:pPr>
        <w:pStyle w:val="BodyText"/>
        <w:jc w:val="both"/>
        <w:rPr>
          <w:rFonts w:ascii="Calibri" w:hAnsi="Calibri" w:cs="Calibri"/>
          <w:szCs w:val="24"/>
          <w:lang w:val="en-GB"/>
        </w:rPr>
      </w:pPr>
      <w:r w:rsidRPr="002B0CA2">
        <w:rPr>
          <w:rFonts w:ascii="Calibri" w:hAnsi="Calibri" w:cs="Calibri"/>
          <w:szCs w:val="24"/>
          <w:lang w:val="en-GB"/>
        </w:rPr>
        <w:t>“</w:t>
      </w:r>
      <w:r w:rsidR="002B0CA2">
        <w:rPr>
          <w:rFonts w:ascii="Calibri" w:hAnsi="Calibri" w:cs="Calibri"/>
          <w:szCs w:val="24"/>
          <w:lang w:val="en-GB"/>
        </w:rPr>
        <w:t xml:space="preserve">We have reported a robust </w:t>
      </w:r>
      <w:r w:rsidR="00830D3A">
        <w:rPr>
          <w:rFonts w:ascii="Calibri" w:hAnsi="Calibri" w:cs="Calibri"/>
          <w:szCs w:val="24"/>
          <w:lang w:val="en-GB"/>
        </w:rPr>
        <w:t>g</w:t>
      </w:r>
      <w:r w:rsidR="002B0CA2">
        <w:rPr>
          <w:rFonts w:ascii="Calibri" w:hAnsi="Calibri" w:cs="Calibri"/>
          <w:szCs w:val="24"/>
          <w:lang w:val="en-GB"/>
        </w:rPr>
        <w:t xml:space="preserve">roup performance, in extremely challenging shipping markets, thanks to our progressive diversification into </w:t>
      </w:r>
      <w:r w:rsidR="00830D3A">
        <w:rPr>
          <w:rFonts w:ascii="Calibri" w:hAnsi="Calibri" w:cs="Calibri"/>
          <w:szCs w:val="24"/>
          <w:lang w:val="en-GB"/>
        </w:rPr>
        <w:t xml:space="preserve">a broad range of </w:t>
      </w:r>
      <w:r w:rsidR="007D1C01">
        <w:rPr>
          <w:rFonts w:ascii="Calibri" w:hAnsi="Calibri" w:cs="Calibri"/>
          <w:szCs w:val="24"/>
          <w:lang w:val="en-GB"/>
        </w:rPr>
        <w:t>marit</w:t>
      </w:r>
      <w:r w:rsidR="0053603B">
        <w:rPr>
          <w:rFonts w:ascii="Calibri" w:hAnsi="Calibri" w:cs="Calibri"/>
          <w:szCs w:val="24"/>
          <w:lang w:val="en-GB"/>
        </w:rPr>
        <w:t>i</w:t>
      </w:r>
      <w:r w:rsidR="007D1C01">
        <w:rPr>
          <w:rFonts w:ascii="Calibri" w:hAnsi="Calibri" w:cs="Calibri"/>
          <w:szCs w:val="24"/>
          <w:lang w:val="en-GB"/>
        </w:rPr>
        <w:t xml:space="preserve">me </w:t>
      </w:r>
      <w:r w:rsidR="002B0CA2">
        <w:rPr>
          <w:rFonts w:ascii="Calibri" w:hAnsi="Calibri" w:cs="Calibri"/>
          <w:szCs w:val="24"/>
          <w:lang w:val="en-GB"/>
        </w:rPr>
        <w:t xml:space="preserve">services. The momentum in </w:t>
      </w:r>
      <w:r w:rsidR="0053603B">
        <w:rPr>
          <w:rFonts w:ascii="Calibri" w:hAnsi="Calibri" w:cs="Calibri"/>
          <w:szCs w:val="24"/>
          <w:lang w:val="en-GB"/>
        </w:rPr>
        <w:t xml:space="preserve">Braemar </w:t>
      </w:r>
      <w:r w:rsidR="007034E8">
        <w:rPr>
          <w:rFonts w:ascii="Calibri" w:hAnsi="Calibri" w:cs="Calibri"/>
          <w:szCs w:val="24"/>
          <w:lang w:val="en-GB"/>
        </w:rPr>
        <w:t>Technical</w:t>
      </w:r>
      <w:r w:rsidR="0053603B">
        <w:rPr>
          <w:rFonts w:ascii="Calibri" w:hAnsi="Calibri" w:cs="Calibri"/>
          <w:szCs w:val="24"/>
          <w:lang w:val="en-GB"/>
        </w:rPr>
        <w:t xml:space="preserve"> Services</w:t>
      </w:r>
      <w:r w:rsidR="002B0CA2">
        <w:rPr>
          <w:rFonts w:ascii="Calibri" w:hAnsi="Calibri" w:cs="Calibri"/>
          <w:szCs w:val="24"/>
          <w:lang w:val="en-GB"/>
        </w:rPr>
        <w:t xml:space="preserve"> and</w:t>
      </w:r>
      <w:r w:rsidR="0053603B">
        <w:rPr>
          <w:rFonts w:ascii="Calibri" w:hAnsi="Calibri" w:cs="Calibri"/>
          <w:szCs w:val="24"/>
          <w:lang w:val="en-GB"/>
        </w:rPr>
        <w:t xml:space="preserve"> the</w:t>
      </w:r>
      <w:r w:rsidR="002B0CA2">
        <w:rPr>
          <w:rFonts w:ascii="Calibri" w:hAnsi="Calibri" w:cs="Calibri"/>
          <w:szCs w:val="24"/>
          <w:lang w:val="en-GB"/>
        </w:rPr>
        <w:t xml:space="preserve"> Logistics divisions will help in the year ahead and </w:t>
      </w:r>
      <w:r w:rsidR="00830D3A">
        <w:rPr>
          <w:rFonts w:ascii="Calibri" w:hAnsi="Calibri" w:cs="Calibri"/>
          <w:szCs w:val="24"/>
          <w:lang w:val="en-GB"/>
        </w:rPr>
        <w:t xml:space="preserve">our </w:t>
      </w:r>
      <w:proofErr w:type="spellStart"/>
      <w:r w:rsidR="00830D3A">
        <w:rPr>
          <w:rFonts w:ascii="Calibri" w:hAnsi="Calibri" w:cs="Calibri"/>
          <w:szCs w:val="24"/>
          <w:lang w:val="en-GB"/>
        </w:rPr>
        <w:t>Shipbroking</w:t>
      </w:r>
      <w:proofErr w:type="spellEnd"/>
      <w:r w:rsidR="00830D3A">
        <w:rPr>
          <w:rFonts w:ascii="Calibri" w:hAnsi="Calibri" w:cs="Calibri"/>
          <w:szCs w:val="24"/>
          <w:lang w:val="en-GB"/>
        </w:rPr>
        <w:t xml:space="preserve"> business is</w:t>
      </w:r>
      <w:r w:rsidR="002B0CA2">
        <w:rPr>
          <w:rFonts w:ascii="Calibri" w:hAnsi="Calibri" w:cs="Calibri"/>
          <w:szCs w:val="24"/>
          <w:lang w:val="en-GB"/>
        </w:rPr>
        <w:t xml:space="preserve"> well placed to benefit from a recovery in shipping markets in the medium term.</w:t>
      </w:r>
      <w:r w:rsidR="00A87E52" w:rsidRPr="002B0CA2">
        <w:rPr>
          <w:rFonts w:ascii="Calibri" w:hAnsi="Calibri" w:cs="Calibri"/>
          <w:szCs w:val="24"/>
          <w:lang w:val="en-GB"/>
        </w:rPr>
        <w:t>”</w:t>
      </w:r>
    </w:p>
    <w:p w:rsidR="00830D3A" w:rsidRDefault="00830D3A" w:rsidP="003778F6">
      <w:pPr>
        <w:pStyle w:val="BodyText"/>
        <w:jc w:val="both"/>
        <w:rPr>
          <w:rFonts w:ascii="Calibri" w:hAnsi="Calibri" w:cs="Calibri"/>
          <w:szCs w:val="24"/>
          <w:lang w:val="en-GB"/>
        </w:rPr>
      </w:pPr>
    </w:p>
    <w:p w:rsidR="00830D3A" w:rsidRDefault="00830D3A" w:rsidP="003778F6">
      <w:pPr>
        <w:pStyle w:val="BodyText"/>
        <w:jc w:val="both"/>
        <w:rPr>
          <w:rFonts w:ascii="Calibri" w:hAnsi="Calibri" w:cs="Arial"/>
          <w:szCs w:val="24"/>
          <w:lang w:val="en-GB"/>
        </w:rPr>
      </w:pPr>
      <w:r>
        <w:rPr>
          <w:rFonts w:ascii="Calibri" w:hAnsi="Calibri" w:cs="Calibri"/>
          <w:szCs w:val="24"/>
          <w:lang w:val="en-GB"/>
        </w:rPr>
        <w:t>“This year’s performance shows that the strategy to develop a more broadly-base</w:t>
      </w:r>
      <w:r w:rsidR="0053603B">
        <w:rPr>
          <w:rFonts w:ascii="Calibri" w:hAnsi="Calibri" w:cs="Calibri"/>
          <w:szCs w:val="24"/>
          <w:lang w:val="en-GB"/>
        </w:rPr>
        <w:t>d</w:t>
      </w:r>
      <w:r>
        <w:rPr>
          <w:rFonts w:ascii="Calibri" w:hAnsi="Calibri" w:cs="Calibri"/>
          <w:szCs w:val="24"/>
          <w:lang w:val="en-GB"/>
        </w:rPr>
        <w:t xml:space="preserve"> business has reduced volatility of the </w:t>
      </w:r>
      <w:r w:rsidR="0011087B">
        <w:rPr>
          <w:rFonts w:ascii="Calibri" w:hAnsi="Calibri" w:cs="Calibri"/>
          <w:szCs w:val="24"/>
          <w:lang w:val="en-GB"/>
        </w:rPr>
        <w:t>G</w:t>
      </w:r>
      <w:r>
        <w:rPr>
          <w:rFonts w:ascii="Calibri" w:hAnsi="Calibri" w:cs="Calibri"/>
          <w:szCs w:val="24"/>
          <w:lang w:val="en-GB"/>
        </w:rPr>
        <w:t>roup’s results and the exposure to the shipping cycle. There is potential to develop all our existing divisions through organic growth, business improvement and further acquisiti</w:t>
      </w:r>
      <w:r w:rsidR="003E33DC">
        <w:rPr>
          <w:rFonts w:ascii="Calibri" w:hAnsi="Calibri" w:cs="Calibri"/>
          <w:szCs w:val="24"/>
          <w:lang w:val="en-GB"/>
        </w:rPr>
        <w:t>ons</w:t>
      </w:r>
      <w:r w:rsidR="008E2AD1">
        <w:rPr>
          <w:rFonts w:ascii="Calibri" w:hAnsi="Calibri" w:cs="Calibri"/>
          <w:szCs w:val="24"/>
          <w:lang w:val="en-GB"/>
        </w:rPr>
        <w:t xml:space="preserve"> where the quality of earnings can be maintained</w:t>
      </w:r>
      <w:r>
        <w:rPr>
          <w:rFonts w:ascii="Calibri" w:hAnsi="Calibri" w:cs="Calibri"/>
          <w:szCs w:val="24"/>
          <w:lang w:val="en-GB"/>
        </w:rPr>
        <w:t>.</w:t>
      </w:r>
      <w:r w:rsidR="00231D43">
        <w:rPr>
          <w:rFonts w:ascii="Calibri" w:hAnsi="Calibri" w:cs="Calibri"/>
          <w:szCs w:val="24"/>
          <w:lang w:val="en-GB"/>
        </w:rPr>
        <w:t>”</w:t>
      </w:r>
    </w:p>
    <w:p w:rsidR="00B66B01" w:rsidRDefault="00B66B01" w:rsidP="00B66B01">
      <w:pPr>
        <w:tabs>
          <w:tab w:val="right" w:pos="9270"/>
        </w:tabs>
        <w:ind w:right="329"/>
        <w:rPr>
          <w:rFonts w:ascii="Calibri" w:hAnsi="Calibri" w:cs="Arial"/>
          <w:szCs w:val="24"/>
          <w:lang w:val="en-GB"/>
        </w:rPr>
      </w:pPr>
    </w:p>
    <w:p w:rsidR="003E579D" w:rsidRPr="00D440C9" w:rsidRDefault="003E579D" w:rsidP="00B66B01">
      <w:pPr>
        <w:tabs>
          <w:tab w:val="right" w:pos="9270"/>
        </w:tabs>
        <w:ind w:right="329"/>
        <w:rPr>
          <w:rFonts w:ascii="Calibri" w:hAnsi="Calibri" w:cs="Arial"/>
          <w:szCs w:val="24"/>
          <w:lang w:val="en-GB"/>
        </w:rPr>
      </w:pPr>
    </w:p>
    <w:p w:rsidR="00B07651" w:rsidRPr="00D440C9" w:rsidRDefault="00B07651" w:rsidP="00B07651">
      <w:pPr>
        <w:tabs>
          <w:tab w:val="right" w:pos="9270"/>
        </w:tabs>
        <w:ind w:right="329"/>
        <w:jc w:val="center"/>
        <w:rPr>
          <w:rFonts w:ascii="Calibri" w:hAnsi="Calibri" w:cs="Arial"/>
          <w:b/>
          <w:bCs/>
          <w:szCs w:val="24"/>
          <w:lang w:val="en-GB"/>
        </w:rPr>
      </w:pPr>
      <w:r w:rsidRPr="00D440C9">
        <w:rPr>
          <w:rFonts w:ascii="Calibri" w:hAnsi="Calibri" w:cs="Arial"/>
          <w:b/>
          <w:bCs/>
          <w:szCs w:val="24"/>
          <w:lang w:val="en-GB"/>
        </w:rPr>
        <w:t>ENDS</w:t>
      </w:r>
    </w:p>
    <w:p w:rsidR="000D6012" w:rsidRDefault="000D6012" w:rsidP="004A60A3">
      <w:pPr>
        <w:tabs>
          <w:tab w:val="right" w:pos="9270"/>
        </w:tabs>
        <w:spacing w:line="360" w:lineRule="auto"/>
        <w:ind w:right="329"/>
        <w:rPr>
          <w:rFonts w:ascii="Calibri" w:hAnsi="Calibri" w:cs="Calibri"/>
          <w:b/>
          <w:bCs/>
          <w:szCs w:val="24"/>
          <w:u w:val="single"/>
          <w:lang w:val="en-GB"/>
        </w:rPr>
      </w:pPr>
    </w:p>
    <w:p w:rsidR="004A60A3" w:rsidRPr="00F628D1" w:rsidRDefault="004A60A3" w:rsidP="004A60A3">
      <w:pPr>
        <w:tabs>
          <w:tab w:val="right" w:pos="9270"/>
        </w:tabs>
        <w:spacing w:line="360" w:lineRule="auto"/>
        <w:ind w:right="329"/>
        <w:rPr>
          <w:rFonts w:ascii="Calibri" w:hAnsi="Calibri" w:cs="Calibri"/>
          <w:b/>
          <w:bCs/>
          <w:szCs w:val="24"/>
          <w:u w:val="single"/>
          <w:lang w:val="en-GB"/>
        </w:rPr>
      </w:pPr>
      <w:r w:rsidRPr="00F628D1">
        <w:rPr>
          <w:rFonts w:ascii="Calibri" w:hAnsi="Calibri" w:cs="Calibri"/>
          <w:b/>
          <w:bCs/>
          <w:szCs w:val="24"/>
          <w:u w:val="single"/>
          <w:lang w:val="en-GB"/>
        </w:rPr>
        <w:t>For further information, contact:</w:t>
      </w:r>
    </w:p>
    <w:tbl>
      <w:tblPr>
        <w:tblW w:w="9322" w:type="dxa"/>
        <w:tblLayout w:type="fixed"/>
        <w:tblLook w:val="0000" w:firstRow="0" w:lastRow="0" w:firstColumn="0" w:lastColumn="0" w:noHBand="0" w:noVBand="0"/>
      </w:tblPr>
      <w:tblGrid>
        <w:gridCol w:w="5058"/>
        <w:gridCol w:w="4264"/>
      </w:tblGrid>
      <w:tr w:rsidR="004A60A3" w:rsidRPr="00F628D1" w:rsidTr="004A60A3">
        <w:tc>
          <w:tcPr>
            <w:tcW w:w="5058" w:type="dxa"/>
          </w:tcPr>
          <w:p w:rsidR="004A60A3" w:rsidRPr="00F628D1" w:rsidRDefault="004A60A3" w:rsidP="004A60A3">
            <w:pPr>
              <w:jc w:val="both"/>
              <w:rPr>
                <w:rFonts w:ascii="Calibri" w:hAnsi="Calibri" w:cs="Calibri"/>
                <w:szCs w:val="24"/>
                <w:lang w:val="en-GB"/>
              </w:rPr>
            </w:pPr>
            <w:r w:rsidRPr="00F628D1">
              <w:rPr>
                <w:rFonts w:ascii="Calibri" w:hAnsi="Calibri" w:cs="Calibri"/>
                <w:szCs w:val="24"/>
                <w:lang w:val="en-GB"/>
              </w:rPr>
              <w:t xml:space="preserve">Braemar Shipping Services </w:t>
            </w:r>
          </w:p>
        </w:tc>
        <w:tc>
          <w:tcPr>
            <w:tcW w:w="4264" w:type="dxa"/>
          </w:tcPr>
          <w:p w:rsidR="004A60A3" w:rsidRPr="00F628D1" w:rsidRDefault="004A60A3" w:rsidP="004A60A3">
            <w:pPr>
              <w:jc w:val="right"/>
              <w:rPr>
                <w:rFonts w:ascii="Calibri" w:hAnsi="Calibri" w:cs="Calibri"/>
                <w:szCs w:val="24"/>
                <w:lang w:val="en-GB"/>
              </w:rPr>
            </w:pPr>
          </w:p>
        </w:tc>
      </w:tr>
      <w:tr w:rsidR="004A60A3" w:rsidRPr="00F628D1" w:rsidTr="004A60A3">
        <w:tc>
          <w:tcPr>
            <w:tcW w:w="5058" w:type="dxa"/>
          </w:tcPr>
          <w:p w:rsidR="004A60A3" w:rsidRPr="00F628D1" w:rsidRDefault="004A60A3" w:rsidP="004A60A3">
            <w:pPr>
              <w:jc w:val="both"/>
              <w:rPr>
                <w:rFonts w:ascii="Calibri" w:hAnsi="Calibri" w:cs="Calibri"/>
                <w:szCs w:val="24"/>
                <w:lang w:val="en-GB"/>
              </w:rPr>
            </w:pPr>
            <w:r w:rsidRPr="00F628D1">
              <w:rPr>
                <w:rFonts w:ascii="Calibri" w:hAnsi="Calibri" w:cs="Calibri"/>
                <w:szCs w:val="24"/>
                <w:lang w:val="en-GB"/>
              </w:rPr>
              <w:t xml:space="preserve">     James Kidwell</w:t>
            </w:r>
          </w:p>
        </w:tc>
        <w:tc>
          <w:tcPr>
            <w:tcW w:w="4264" w:type="dxa"/>
          </w:tcPr>
          <w:p w:rsidR="004A60A3" w:rsidRPr="00F628D1" w:rsidRDefault="004A60A3" w:rsidP="004A60A3">
            <w:pPr>
              <w:jc w:val="right"/>
              <w:rPr>
                <w:rFonts w:ascii="Calibri" w:hAnsi="Calibri" w:cs="Calibri"/>
                <w:szCs w:val="24"/>
                <w:lang w:val="en-GB"/>
              </w:rPr>
            </w:pPr>
            <w:r w:rsidRPr="00F628D1">
              <w:rPr>
                <w:rFonts w:ascii="Calibri" w:hAnsi="Calibri" w:cs="Calibri"/>
                <w:szCs w:val="24"/>
                <w:lang w:val="en-GB"/>
              </w:rPr>
              <w:t>Tel +44 (0) 20 7535 2881</w:t>
            </w:r>
          </w:p>
        </w:tc>
      </w:tr>
      <w:tr w:rsidR="002B0CA2" w:rsidRPr="00F628D1" w:rsidTr="004A60A3">
        <w:tc>
          <w:tcPr>
            <w:tcW w:w="5058" w:type="dxa"/>
          </w:tcPr>
          <w:p w:rsidR="002B0CA2" w:rsidRPr="00F628D1" w:rsidRDefault="002B0CA2" w:rsidP="002B0CA2">
            <w:pPr>
              <w:jc w:val="both"/>
              <w:rPr>
                <w:rFonts w:ascii="Calibri" w:hAnsi="Calibri" w:cs="Calibri"/>
                <w:szCs w:val="24"/>
                <w:lang w:val="en-GB"/>
              </w:rPr>
            </w:pPr>
            <w:r w:rsidRPr="00F628D1">
              <w:rPr>
                <w:rFonts w:ascii="Calibri" w:hAnsi="Calibri" w:cs="Calibri"/>
                <w:szCs w:val="24"/>
                <w:lang w:val="en-GB"/>
              </w:rPr>
              <w:t xml:space="preserve">     </w:t>
            </w:r>
            <w:r>
              <w:rPr>
                <w:rFonts w:ascii="Calibri" w:hAnsi="Calibri" w:cs="Calibri"/>
                <w:szCs w:val="24"/>
                <w:lang w:val="en-GB"/>
              </w:rPr>
              <w:t>Martin Beer</w:t>
            </w:r>
          </w:p>
        </w:tc>
        <w:tc>
          <w:tcPr>
            <w:tcW w:w="4264" w:type="dxa"/>
          </w:tcPr>
          <w:p w:rsidR="002B0CA2" w:rsidRPr="00F628D1" w:rsidRDefault="002B0CA2" w:rsidP="002B0CA2">
            <w:pPr>
              <w:jc w:val="right"/>
              <w:rPr>
                <w:rFonts w:ascii="Calibri" w:hAnsi="Calibri" w:cs="Calibri"/>
                <w:szCs w:val="24"/>
                <w:lang w:val="en-GB"/>
              </w:rPr>
            </w:pPr>
            <w:r w:rsidRPr="00F628D1">
              <w:rPr>
                <w:rFonts w:ascii="Calibri" w:hAnsi="Calibri" w:cs="Calibri"/>
                <w:szCs w:val="24"/>
                <w:lang w:val="en-GB"/>
              </w:rPr>
              <w:t>Tel +44 (0) 20 7</w:t>
            </w:r>
            <w:r>
              <w:rPr>
                <w:rFonts w:ascii="Calibri" w:hAnsi="Calibri" w:cs="Calibri"/>
                <w:szCs w:val="24"/>
                <w:lang w:val="en-GB"/>
              </w:rPr>
              <w:t>903</w:t>
            </w:r>
            <w:r w:rsidRPr="00F628D1">
              <w:rPr>
                <w:rFonts w:ascii="Calibri" w:hAnsi="Calibri" w:cs="Calibri"/>
                <w:szCs w:val="24"/>
                <w:lang w:val="en-GB"/>
              </w:rPr>
              <w:t xml:space="preserve"> </w:t>
            </w:r>
            <w:r>
              <w:rPr>
                <w:rFonts w:ascii="Calibri" w:hAnsi="Calibri" w:cs="Calibri"/>
                <w:szCs w:val="24"/>
                <w:lang w:val="en-GB"/>
              </w:rPr>
              <w:t>2654</w:t>
            </w:r>
          </w:p>
        </w:tc>
      </w:tr>
      <w:tr w:rsidR="004A60A3" w:rsidRPr="00F628D1" w:rsidTr="004A60A3">
        <w:tc>
          <w:tcPr>
            <w:tcW w:w="5058" w:type="dxa"/>
          </w:tcPr>
          <w:p w:rsidR="004A60A3" w:rsidRPr="00F628D1" w:rsidRDefault="004A60A3" w:rsidP="004A60A3">
            <w:pPr>
              <w:jc w:val="both"/>
              <w:rPr>
                <w:rFonts w:ascii="Calibri" w:hAnsi="Calibri" w:cs="Calibri"/>
                <w:szCs w:val="24"/>
                <w:lang w:val="en-GB"/>
              </w:rPr>
            </w:pPr>
          </w:p>
          <w:p w:rsidR="004A60A3" w:rsidRPr="00F628D1" w:rsidRDefault="004A60A3" w:rsidP="004A60A3">
            <w:pPr>
              <w:jc w:val="both"/>
              <w:rPr>
                <w:rFonts w:ascii="Calibri" w:hAnsi="Calibri" w:cs="Calibri"/>
                <w:szCs w:val="24"/>
                <w:lang w:val="en-GB"/>
              </w:rPr>
            </w:pPr>
            <w:r w:rsidRPr="00F628D1">
              <w:rPr>
                <w:rFonts w:ascii="Calibri" w:hAnsi="Calibri" w:cs="Calibri"/>
                <w:szCs w:val="24"/>
                <w:lang w:val="en-GB"/>
              </w:rPr>
              <w:t xml:space="preserve">Pelham Bell </w:t>
            </w:r>
            <w:proofErr w:type="spellStart"/>
            <w:r w:rsidRPr="00F628D1">
              <w:rPr>
                <w:rFonts w:ascii="Calibri" w:hAnsi="Calibri" w:cs="Calibri"/>
                <w:szCs w:val="24"/>
                <w:lang w:val="en-GB"/>
              </w:rPr>
              <w:t>Pottinger</w:t>
            </w:r>
            <w:proofErr w:type="spellEnd"/>
          </w:p>
        </w:tc>
        <w:tc>
          <w:tcPr>
            <w:tcW w:w="4264" w:type="dxa"/>
          </w:tcPr>
          <w:p w:rsidR="004A60A3" w:rsidRPr="00F628D1" w:rsidRDefault="004A60A3" w:rsidP="004A60A3">
            <w:pPr>
              <w:jc w:val="right"/>
              <w:rPr>
                <w:rFonts w:ascii="Calibri" w:hAnsi="Calibri" w:cs="Calibri"/>
                <w:szCs w:val="24"/>
                <w:lang w:val="en-GB"/>
              </w:rPr>
            </w:pPr>
          </w:p>
        </w:tc>
      </w:tr>
      <w:tr w:rsidR="004A60A3" w:rsidRPr="00F628D1" w:rsidTr="004A60A3">
        <w:tc>
          <w:tcPr>
            <w:tcW w:w="5058" w:type="dxa"/>
          </w:tcPr>
          <w:p w:rsidR="004A60A3" w:rsidRPr="00F628D1" w:rsidRDefault="004A60A3" w:rsidP="004A60A3">
            <w:pPr>
              <w:jc w:val="both"/>
              <w:rPr>
                <w:rFonts w:ascii="Calibri" w:hAnsi="Calibri" w:cs="Calibri"/>
                <w:szCs w:val="24"/>
                <w:lang w:val="en-GB"/>
              </w:rPr>
            </w:pPr>
            <w:r w:rsidRPr="00F628D1">
              <w:rPr>
                <w:rFonts w:ascii="Calibri" w:hAnsi="Calibri" w:cs="Calibri"/>
                <w:szCs w:val="24"/>
                <w:lang w:val="en-GB"/>
              </w:rPr>
              <w:t xml:space="preserve">     Damian Beeley</w:t>
            </w:r>
          </w:p>
          <w:p w:rsidR="004A60A3" w:rsidRPr="00F628D1" w:rsidRDefault="004A60A3" w:rsidP="004A60A3">
            <w:pPr>
              <w:jc w:val="both"/>
              <w:rPr>
                <w:rFonts w:ascii="Calibri" w:hAnsi="Calibri" w:cs="Calibri"/>
                <w:szCs w:val="24"/>
                <w:lang w:val="en-GB"/>
              </w:rPr>
            </w:pPr>
            <w:r w:rsidRPr="00F628D1">
              <w:rPr>
                <w:rFonts w:ascii="Calibri" w:hAnsi="Calibri" w:cs="Calibri"/>
                <w:szCs w:val="24"/>
                <w:lang w:val="en-GB"/>
              </w:rPr>
              <w:t xml:space="preserve">     Zoe Pocock</w:t>
            </w:r>
          </w:p>
        </w:tc>
        <w:tc>
          <w:tcPr>
            <w:tcW w:w="4264" w:type="dxa"/>
          </w:tcPr>
          <w:p w:rsidR="004A60A3" w:rsidRPr="00F628D1" w:rsidRDefault="004A60A3" w:rsidP="004A60A3">
            <w:pPr>
              <w:tabs>
                <w:tab w:val="left" w:pos="240"/>
              </w:tabs>
              <w:jc w:val="right"/>
              <w:rPr>
                <w:rFonts w:ascii="Calibri" w:hAnsi="Calibri" w:cs="Calibri"/>
                <w:szCs w:val="24"/>
                <w:lang w:val="en-GB"/>
              </w:rPr>
            </w:pPr>
            <w:r w:rsidRPr="00F628D1">
              <w:rPr>
                <w:rFonts w:ascii="Calibri" w:hAnsi="Calibri" w:cs="Calibri"/>
                <w:szCs w:val="24"/>
                <w:lang w:val="en-GB"/>
              </w:rPr>
              <w:t xml:space="preserve">Tel +44 (0) </w:t>
            </w:r>
            <w:r w:rsidR="00496A9C">
              <w:rPr>
                <w:rFonts w:ascii="Calibri" w:hAnsi="Calibri" w:cs="Calibri"/>
                <w:szCs w:val="24"/>
                <w:lang w:val="en-GB"/>
              </w:rPr>
              <w:t>7950 481795</w:t>
            </w:r>
          </w:p>
          <w:p w:rsidR="004A60A3" w:rsidRPr="00F628D1" w:rsidRDefault="004A60A3" w:rsidP="004A60A3">
            <w:pPr>
              <w:tabs>
                <w:tab w:val="left" w:pos="240"/>
              </w:tabs>
              <w:jc w:val="right"/>
              <w:rPr>
                <w:rFonts w:ascii="Calibri" w:hAnsi="Calibri" w:cs="Calibri"/>
                <w:szCs w:val="24"/>
                <w:lang w:val="en-GB"/>
              </w:rPr>
            </w:pPr>
            <w:r w:rsidRPr="00F628D1">
              <w:rPr>
                <w:rFonts w:ascii="Calibri" w:hAnsi="Calibri" w:cs="Calibri"/>
                <w:szCs w:val="24"/>
                <w:lang w:val="en-GB"/>
              </w:rPr>
              <w:t>Tel +44 (0) 20 7861 3961</w:t>
            </w:r>
          </w:p>
        </w:tc>
      </w:tr>
      <w:tr w:rsidR="004A60A3" w:rsidRPr="00F628D1" w:rsidTr="004A60A3">
        <w:tc>
          <w:tcPr>
            <w:tcW w:w="5058" w:type="dxa"/>
          </w:tcPr>
          <w:p w:rsidR="004A60A3" w:rsidRPr="00F628D1" w:rsidRDefault="004A60A3" w:rsidP="004A60A3">
            <w:pPr>
              <w:jc w:val="both"/>
              <w:rPr>
                <w:rFonts w:ascii="Calibri" w:hAnsi="Calibri" w:cs="Calibri"/>
                <w:szCs w:val="24"/>
                <w:lang w:val="en-GB"/>
              </w:rPr>
            </w:pPr>
          </w:p>
          <w:p w:rsidR="004A60A3" w:rsidRPr="00F628D1" w:rsidRDefault="004A60A3" w:rsidP="004A60A3">
            <w:pPr>
              <w:jc w:val="both"/>
              <w:rPr>
                <w:rFonts w:ascii="Calibri" w:hAnsi="Calibri" w:cs="Calibri"/>
                <w:szCs w:val="24"/>
                <w:lang w:val="en-GB"/>
              </w:rPr>
            </w:pPr>
            <w:r w:rsidRPr="00F628D1">
              <w:rPr>
                <w:rFonts w:ascii="Calibri" w:hAnsi="Calibri" w:cs="Calibri"/>
                <w:szCs w:val="24"/>
                <w:lang w:val="en-GB"/>
              </w:rPr>
              <w:t>Elaborate Communications</w:t>
            </w:r>
          </w:p>
        </w:tc>
        <w:tc>
          <w:tcPr>
            <w:tcW w:w="4264" w:type="dxa"/>
          </w:tcPr>
          <w:p w:rsidR="004A60A3" w:rsidRPr="00F628D1" w:rsidRDefault="004A60A3" w:rsidP="004A60A3">
            <w:pPr>
              <w:tabs>
                <w:tab w:val="left" w:pos="240"/>
              </w:tabs>
              <w:jc w:val="right"/>
              <w:rPr>
                <w:rFonts w:ascii="Calibri" w:hAnsi="Calibri" w:cs="Calibri"/>
                <w:szCs w:val="24"/>
                <w:lang w:val="en-GB"/>
              </w:rPr>
            </w:pPr>
          </w:p>
        </w:tc>
      </w:tr>
      <w:tr w:rsidR="004A60A3" w:rsidRPr="00F628D1" w:rsidTr="004A60A3">
        <w:tc>
          <w:tcPr>
            <w:tcW w:w="5058" w:type="dxa"/>
          </w:tcPr>
          <w:p w:rsidR="004A60A3" w:rsidRPr="00F628D1" w:rsidRDefault="004A60A3" w:rsidP="004A60A3">
            <w:pPr>
              <w:jc w:val="both"/>
              <w:rPr>
                <w:rFonts w:ascii="Calibri" w:hAnsi="Calibri" w:cs="Calibri"/>
                <w:szCs w:val="24"/>
                <w:lang w:val="en-GB"/>
              </w:rPr>
            </w:pPr>
            <w:r w:rsidRPr="00F628D1">
              <w:rPr>
                <w:rFonts w:ascii="Calibri" w:hAnsi="Calibri" w:cs="Calibri"/>
                <w:szCs w:val="24"/>
                <w:lang w:val="en-GB"/>
              </w:rPr>
              <w:t xml:space="preserve">     Sean Moloney</w:t>
            </w:r>
          </w:p>
        </w:tc>
        <w:tc>
          <w:tcPr>
            <w:tcW w:w="4264" w:type="dxa"/>
          </w:tcPr>
          <w:p w:rsidR="004A60A3" w:rsidRPr="00F628D1" w:rsidRDefault="004A60A3" w:rsidP="004A60A3">
            <w:pPr>
              <w:tabs>
                <w:tab w:val="left" w:pos="240"/>
              </w:tabs>
              <w:jc w:val="right"/>
              <w:rPr>
                <w:rFonts w:ascii="Calibri" w:hAnsi="Calibri" w:cs="Calibri"/>
                <w:szCs w:val="24"/>
                <w:lang w:val="en-GB"/>
              </w:rPr>
            </w:pPr>
            <w:r w:rsidRPr="00F628D1">
              <w:rPr>
                <w:rFonts w:ascii="Calibri" w:hAnsi="Calibri" w:cs="Calibri"/>
                <w:szCs w:val="24"/>
                <w:lang w:val="en-GB"/>
              </w:rPr>
              <w:t xml:space="preserve">Tel +44 (0) 1296 682356 </w:t>
            </w:r>
          </w:p>
        </w:tc>
      </w:tr>
      <w:tr w:rsidR="004A60A3" w:rsidRPr="00F628D1" w:rsidTr="004A60A3">
        <w:tc>
          <w:tcPr>
            <w:tcW w:w="5058" w:type="dxa"/>
          </w:tcPr>
          <w:p w:rsidR="004A60A3" w:rsidRPr="00F628D1" w:rsidRDefault="004A60A3" w:rsidP="004A60A3">
            <w:pPr>
              <w:jc w:val="both"/>
              <w:rPr>
                <w:rFonts w:ascii="Calibri" w:hAnsi="Calibri" w:cs="Calibri"/>
                <w:szCs w:val="24"/>
                <w:lang w:val="en-GB"/>
              </w:rPr>
            </w:pPr>
          </w:p>
          <w:p w:rsidR="004A60A3" w:rsidRPr="00F628D1" w:rsidRDefault="000D6012" w:rsidP="000D6012">
            <w:pPr>
              <w:jc w:val="both"/>
              <w:rPr>
                <w:rFonts w:ascii="Calibri" w:hAnsi="Calibri" w:cs="Calibri"/>
                <w:szCs w:val="24"/>
                <w:lang w:val="en-GB"/>
              </w:rPr>
            </w:pPr>
            <w:proofErr w:type="spellStart"/>
            <w:r>
              <w:rPr>
                <w:rFonts w:ascii="Calibri" w:hAnsi="Calibri" w:cs="Calibri"/>
                <w:szCs w:val="24"/>
                <w:lang w:val="en-GB"/>
              </w:rPr>
              <w:t>Westhouse</w:t>
            </w:r>
            <w:proofErr w:type="spellEnd"/>
            <w:r w:rsidR="004A60A3" w:rsidRPr="00F628D1">
              <w:rPr>
                <w:rFonts w:ascii="Calibri" w:hAnsi="Calibri" w:cs="Calibri"/>
                <w:szCs w:val="24"/>
                <w:lang w:val="en-GB"/>
              </w:rPr>
              <w:t xml:space="preserve"> Securities</w:t>
            </w:r>
          </w:p>
        </w:tc>
        <w:tc>
          <w:tcPr>
            <w:tcW w:w="4264" w:type="dxa"/>
          </w:tcPr>
          <w:p w:rsidR="004A60A3" w:rsidRPr="00F628D1" w:rsidRDefault="004A60A3" w:rsidP="004A60A3">
            <w:pPr>
              <w:tabs>
                <w:tab w:val="left" w:pos="240"/>
              </w:tabs>
              <w:jc w:val="right"/>
              <w:rPr>
                <w:rFonts w:ascii="Calibri" w:hAnsi="Calibri" w:cs="Calibri"/>
                <w:szCs w:val="24"/>
                <w:lang w:val="en-GB"/>
              </w:rPr>
            </w:pPr>
          </w:p>
          <w:p w:rsidR="004A60A3" w:rsidRPr="00F628D1" w:rsidRDefault="004A60A3" w:rsidP="004A60A3">
            <w:pPr>
              <w:tabs>
                <w:tab w:val="left" w:pos="240"/>
              </w:tabs>
              <w:jc w:val="right"/>
              <w:rPr>
                <w:rFonts w:ascii="Calibri" w:hAnsi="Calibri" w:cs="Calibri"/>
                <w:szCs w:val="24"/>
                <w:lang w:val="en-GB"/>
              </w:rPr>
            </w:pPr>
          </w:p>
        </w:tc>
      </w:tr>
      <w:tr w:rsidR="00B853CD" w:rsidRPr="00F628D1" w:rsidTr="00B853CD">
        <w:tc>
          <w:tcPr>
            <w:tcW w:w="5058" w:type="dxa"/>
          </w:tcPr>
          <w:p w:rsidR="00B853CD" w:rsidRPr="00F628D1" w:rsidRDefault="00B853CD" w:rsidP="00B853CD">
            <w:pPr>
              <w:jc w:val="both"/>
              <w:rPr>
                <w:rFonts w:ascii="Calibri" w:hAnsi="Calibri" w:cs="Calibri"/>
                <w:szCs w:val="24"/>
                <w:lang w:val="en-GB"/>
              </w:rPr>
            </w:pPr>
            <w:r w:rsidRPr="00F628D1">
              <w:rPr>
                <w:rFonts w:ascii="Calibri" w:hAnsi="Calibri" w:cs="Calibri"/>
                <w:szCs w:val="24"/>
                <w:lang w:val="en-GB"/>
              </w:rPr>
              <w:t xml:space="preserve">    </w:t>
            </w:r>
          </w:p>
        </w:tc>
        <w:tc>
          <w:tcPr>
            <w:tcW w:w="4264" w:type="dxa"/>
          </w:tcPr>
          <w:p w:rsidR="00B853CD" w:rsidRPr="00F628D1" w:rsidRDefault="00B853CD" w:rsidP="00B853CD">
            <w:pPr>
              <w:tabs>
                <w:tab w:val="left" w:pos="240"/>
              </w:tabs>
              <w:jc w:val="right"/>
              <w:rPr>
                <w:rFonts w:ascii="Calibri" w:hAnsi="Calibri" w:cs="Calibri"/>
                <w:szCs w:val="24"/>
                <w:lang w:val="en-GB"/>
              </w:rPr>
            </w:pPr>
          </w:p>
        </w:tc>
      </w:tr>
      <w:tr w:rsidR="004A60A3" w:rsidRPr="00F628D1" w:rsidTr="004A60A3">
        <w:tc>
          <w:tcPr>
            <w:tcW w:w="5058" w:type="dxa"/>
          </w:tcPr>
          <w:p w:rsidR="004A60A3" w:rsidRDefault="004A60A3" w:rsidP="004A60A3">
            <w:pPr>
              <w:jc w:val="both"/>
              <w:rPr>
                <w:rFonts w:ascii="Calibri" w:hAnsi="Calibri" w:cs="Calibri"/>
                <w:szCs w:val="24"/>
                <w:lang w:val="en-GB"/>
              </w:rPr>
            </w:pPr>
            <w:r w:rsidRPr="00F628D1">
              <w:rPr>
                <w:rFonts w:ascii="Calibri" w:hAnsi="Calibri" w:cs="Calibri"/>
                <w:szCs w:val="24"/>
                <w:lang w:val="en-GB"/>
              </w:rPr>
              <w:t xml:space="preserve">     Henry Willcocks</w:t>
            </w:r>
          </w:p>
          <w:p w:rsidR="00231D43" w:rsidRPr="00F628D1" w:rsidRDefault="00231D43" w:rsidP="004A60A3">
            <w:pPr>
              <w:jc w:val="both"/>
              <w:rPr>
                <w:rFonts w:ascii="Calibri" w:hAnsi="Calibri" w:cs="Calibri"/>
                <w:szCs w:val="24"/>
                <w:lang w:val="en-GB"/>
              </w:rPr>
            </w:pPr>
            <w:r>
              <w:rPr>
                <w:rFonts w:ascii="Calibri" w:hAnsi="Calibri" w:cs="Calibri"/>
                <w:szCs w:val="24"/>
                <w:lang w:val="en-GB"/>
              </w:rPr>
              <w:t xml:space="preserve">     Richard Johnson</w:t>
            </w:r>
          </w:p>
        </w:tc>
        <w:tc>
          <w:tcPr>
            <w:tcW w:w="4264" w:type="dxa"/>
          </w:tcPr>
          <w:p w:rsidR="004A60A3" w:rsidRDefault="004A60A3" w:rsidP="00B853CD">
            <w:pPr>
              <w:tabs>
                <w:tab w:val="left" w:pos="240"/>
              </w:tabs>
              <w:jc w:val="right"/>
              <w:rPr>
                <w:rFonts w:ascii="Calibri" w:hAnsi="Calibri" w:cs="Calibri"/>
                <w:szCs w:val="24"/>
                <w:lang w:val="en-GB"/>
              </w:rPr>
            </w:pPr>
            <w:r w:rsidRPr="00F628D1">
              <w:rPr>
                <w:rFonts w:ascii="Calibri" w:hAnsi="Calibri" w:cs="Calibri"/>
                <w:szCs w:val="24"/>
                <w:lang w:val="en-GB"/>
              </w:rPr>
              <w:t>Tel +44 (0) 20 7</w:t>
            </w:r>
            <w:r w:rsidR="00496A9C">
              <w:rPr>
                <w:rFonts w:ascii="Calibri" w:hAnsi="Calibri" w:cs="Calibri"/>
                <w:szCs w:val="24"/>
                <w:lang w:val="en-GB"/>
              </w:rPr>
              <w:t>601</w:t>
            </w:r>
            <w:r w:rsidRPr="00F628D1">
              <w:rPr>
                <w:rFonts w:ascii="Calibri" w:hAnsi="Calibri" w:cs="Calibri"/>
                <w:szCs w:val="24"/>
                <w:lang w:val="en-GB"/>
              </w:rPr>
              <w:t xml:space="preserve"> </w:t>
            </w:r>
            <w:r w:rsidR="00496A9C">
              <w:rPr>
                <w:rFonts w:ascii="Calibri" w:hAnsi="Calibri" w:cs="Calibri"/>
                <w:szCs w:val="24"/>
                <w:lang w:val="en-GB"/>
              </w:rPr>
              <w:t>6100</w:t>
            </w:r>
          </w:p>
          <w:p w:rsidR="00231D43" w:rsidRDefault="00231D43" w:rsidP="003E33DC">
            <w:pPr>
              <w:tabs>
                <w:tab w:val="left" w:pos="240"/>
              </w:tabs>
              <w:jc w:val="right"/>
              <w:rPr>
                <w:rFonts w:ascii="Calibri" w:hAnsi="Calibri" w:cs="Calibri"/>
                <w:szCs w:val="24"/>
                <w:lang w:val="en-GB"/>
              </w:rPr>
            </w:pPr>
          </w:p>
          <w:p w:rsidR="00231D43" w:rsidRPr="00F628D1" w:rsidRDefault="00231D43" w:rsidP="00B853CD">
            <w:pPr>
              <w:tabs>
                <w:tab w:val="left" w:pos="240"/>
              </w:tabs>
              <w:jc w:val="right"/>
              <w:rPr>
                <w:rFonts w:ascii="Calibri" w:hAnsi="Calibri" w:cs="Calibri"/>
                <w:szCs w:val="24"/>
                <w:lang w:val="en-GB"/>
              </w:rPr>
            </w:pPr>
          </w:p>
        </w:tc>
      </w:tr>
    </w:tbl>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Cs w:val="24"/>
          <w:lang w:val="en-GB"/>
        </w:rPr>
      </w:pPr>
    </w:p>
    <w:p w:rsidR="004A60A3" w:rsidRDefault="0035670F"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Cs w:val="24"/>
          <w:lang w:val="en-GB"/>
        </w:rPr>
      </w:pPr>
      <w:r w:rsidRPr="0035670F">
        <w:rPr>
          <w:snapToGrid w:val="0"/>
          <w:color w:val="000000"/>
          <w:w w:val="0"/>
          <w:sz w:val="0"/>
          <w:szCs w:val="0"/>
          <w:u w:color="000000"/>
          <w:bdr w:val="none" w:sz="0" w:space="0" w:color="000000"/>
          <w:shd w:val="clear" w:color="000000" w:fill="000000"/>
          <w:lang w:val="x-none" w:eastAsia="x-none" w:bidi="x-none"/>
        </w:rPr>
        <w:t xml:space="preserve"> </w:t>
      </w:r>
    </w:p>
    <w:p w:rsidR="00231D43" w:rsidRPr="00F628D1" w:rsidRDefault="00231D4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Cs w:val="24"/>
          <w:lang w:val="en-GB"/>
        </w:rPr>
      </w:pPr>
    </w:p>
    <w:p w:rsidR="004A60A3" w:rsidRPr="00F628D1" w:rsidRDefault="004A60A3" w:rsidP="004A60A3">
      <w:pPr>
        <w:rPr>
          <w:rFonts w:ascii="Calibri" w:hAnsi="Calibri" w:cs="Calibri"/>
          <w:b/>
          <w:szCs w:val="24"/>
          <w:lang w:val="en-GB"/>
        </w:rPr>
      </w:pPr>
      <w:r w:rsidRPr="00F628D1">
        <w:rPr>
          <w:rFonts w:ascii="Calibri" w:hAnsi="Calibri" w:cs="Calibri"/>
          <w:b/>
          <w:szCs w:val="24"/>
          <w:lang w:val="en-GB"/>
        </w:rPr>
        <w:t xml:space="preserve">Notes to </w:t>
      </w:r>
      <w:r w:rsidR="00B541FD">
        <w:rPr>
          <w:rFonts w:ascii="Calibri" w:hAnsi="Calibri" w:cs="Calibri"/>
          <w:b/>
          <w:szCs w:val="24"/>
          <w:lang w:val="en-GB"/>
        </w:rPr>
        <w:t>e</w:t>
      </w:r>
      <w:r w:rsidRPr="00F628D1">
        <w:rPr>
          <w:rFonts w:ascii="Calibri" w:hAnsi="Calibri" w:cs="Calibri"/>
          <w:b/>
          <w:szCs w:val="24"/>
          <w:lang w:val="en-GB"/>
        </w:rPr>
        <w:t xml:space="preserve">ditors </w:t>
      </w: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lang w:val="en-GB"/>
        </w:rPr>
      </w:pPr>
      <w:r w:rsidRPr="00F628D1">
        <w:rPr>
          <w:rFonts w:ascii="Calibri" w:hAnsi="Calibri" w:cs="Calibri"/>
          <w:szCs w:val="24"/>
          <w:lang w:val="en-GB"/>
        </w:rPr>
        <w:t xml:space="preserve">Braemar Shipping Services </w:t>
      </w:r>
      <w:proofErr w:type="spellStart"/>
      <w:r w:rsidRPr="00F628D1">
        <w:rPr>
          <w:rFonts w:ascii="Calibri" w:hAnsi="Calibri" w:cs="Calibri"/>
          <w:szCs w:val="24"/>
          <w:lang w:val="en-GB"/>
        </w:rPr>
        <w:t>plc</w:t>
      </w:r>
      <w:proofErr w:type="spellEnd"/>
      <w:r w:rsidRPr="00F628D1">
        <w:rPr>
          <w:rFonts w:ascii="Calibri" w:hAnsi="Calibri" w:cs="Calibri"/>
          <w:szCs w:val="24"/>
          <w:lang w:val="en-GB"/>
        </w:rPr>
        <w:t xml:space="preserve"> is a leading international provider of broking, consultancy, </w:t>
      </w:r>
      <w:proofErr w:type="gramStart"/>
      <w:r w:rsidRPr="00F628D1">
        <w:rPr>
          <w:rFonts w:ascii="Calibri" w:hAnsi="Calibri" w:cs="Calibri"/>
          <w:szCs w:val="24"/>
          <w:lang w:val="en-GB"/>
        </w:rPr>
        <w:t>technical</w:t>
      </w:r>
      <w:proofErr w:type="gramEnd"/>
      <w:r w:rsidRPr="00F628D1">
        <w:rPr>
          <w:rFonts w:ascii="Calibri" w:hAnsi="Calibri" w:cs="Calibri"/>
          <w:szCs w:val="24"/>
          <w:lang w:val="en-GB"/>
        </w:rPr>
        <w:t xml:space="preserve"> and other services to the shipping, marine and energy industries. The business is organised into the following segments:  </w:t>
      </w:r>
      <w:proofErr w:type="spellStart"/>
      <w:r w:rsidRPr="00F628D1">
        <w:rPr>
          <w:rFonts w:ascii="Calibri" w:hAnsi="Calibri" w:cs="Calibri"/>
          <w:szCs w:val="24"/>
          <w:lang w:val="en-GB"/>
        </w:rPr>
        <w:t>Shipbroking</w:t>
      </w:r>
      <w:proofErr w:type="spellEnd"/>
      <w:r w:rsidRPr="00F628D1">
        <w:rPr>
          <w:rFonts w:ascii="Calibri" w:hAnsi="Calibri" w:cs="Calibri"/>
          <w:szCs w:val="24"/>
          <w:lang w:val="en-GB"/>
        </w:rPr>
        <w:t xml:space="preserve">, Technical, Logistics and Environmental. It is listed on the Official List of the London Stock Exchange in the Industrial Transport sector. </w:t>
      </w:r>
    </w:p>
    <w:p w:rsidR="004A60A3" w:rsidRDefault="004A60A3" w:rsidP="004A60A3">
      <w:pPr>
        <w:jc w:val="both"/>
        <w:rPr>
          <w:rFonts w:ascii="Calibri" w:hAnsi="Calibri" w:cs="Calibri"/>
          <w:bCs/>
          <w:color w:val="000000"/>
          <w:szCs w:val="24"/>
          <w:lang w:val="en-GB"/>
        </w:rPr>
      </w:pPr>
    </w:p>
    <w:p w:rsidR="009E3AE5" w:rsidRDefault="009E3AE5" w:rsidP="004A60A3">
      <w:pPr>
        <w:jc w:val="both"/>
        <w:rPr>
          <w:rFonts w:ascii="Calibri" w:hAnsi="Calibri" w:cs="Calibri"/>
          <w:bCs/>
          <w:color w:val="000000"/>
          <w:szCs w:val="24"/>
          <w:lang w:val="en-GB"/>
        </w:rPr>
      </w:pPr>
    </w:p>
    <w:p w:rsidR="009E3AE5" w:rsidRDefault="009E3AE5" w:rsidP="004A60A3">
      <w:pPr>
        <w:jc w:val="both"/>
        <w:rPr>
          <w:rFonts w:ascii="Calibri" w:hAnsi="Calibri" w:cs="Calibri"/>
          <w:bCs/>
          <w:color w:val="000000"/>
          <w:szCs w:val="24"/>
          <w:lang w:val="en-GB"/>
        </w:rPr>
      </w:pPr>
    </w:p>
    <w:p w:rsidR="009E3AE5" w:rsidRDefault="009E3AE5" w:rsidP="004A60A3">
      <w:pPr>
        <w:jc w:val="both"/>
        <w:rPr>
          <w:rFonts w:ascii="Calibri" w:hAnsi="Calibri" w:cs="Calibri"/>
          <w:bCs/>
          <w:color w:val="000000"/>
          <w:szCs w:val="24"/>
          <w:lang w:val="en-GB"/>
        </w:rPr>
      </w:pPr>
    </w:p>
    <w:p w:rsidR="009E3AE5" w:rsidRDefault="009E3AE5" w:rsidP="004A60A3">
      <w:pPr>
        <w:jc w:val="both"/>
        <w:rPr>
          <w:rFonts w:ascii="Calibri" w:hAnsi="Calibri" w:cs="Calibri"/>
          <w:bCs/>
          <w:color w:val="000000"/>
          <w:szCs w:val="24"/>
          <w:lang w:val="en-GB"/>
        </w:rPr>
      </w:pPr>
    </w:p>
    <w:p w:rsidR="009E3AE5" w:rsidRDefault="009E3AE5" w:rsidP="004A60A3">
      <w:pPr>
        <w:jc w:val="both"/>
        <w:rPr>
          <w:rFonts w:ascii="Calibri" w:hAnsi="Calibri" w:cs="Calibri"/>
          <w:bCs/>
          <w:color w:val="000000"/>
          <w:szCs w:val="24"/>
          <w:lang w:val="en-GB"/>
        </w:rPr>
      </w:pPr>
    </w:p>
    <w:p w:rsidR="009E3AE5" w:rsidRPr="00F628D1" w:rsidRDefault="009E3AE5" w:rsidP="004A60A3">
      <w:pPr>
        <w:jc w:val="both"/>
        <w:rPr>
          <w:rFonts w:ascii="Calibri" w:hAnsi="Calibri" w:cs="Calibri"/>
          <w:bCs/>
          <w:color w:val="000000"/>
          <w:szCs w:val="24"/>
          <w:lang w:val="en-GB"/>
        </w:rPr>
      </w:pP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Cs w:val="24"/>
          <w:lang w:val="en-GB"/>
        </w:rPr>
      </w:pPr>
      <w:r w:rsidRPr="00F628D1">
        <w:rPr>
          <w:rFonts w:ascii="Calibri" w:hAnsi="Calibri" w:cs="Calibri"/>
          <w:b/>
          <w:szCs w:val="24"/>
          <w:lang w:val="en-GB"/>
        </w:rPr>
        <w:lastRenderedPageBreak/>
        <w:t>Principal businesses:</w:t>
      </w: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lang w:val="en-GB"/>
        </w:rPr>
      </w:pP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Cs w:val="24"/>
          <w:lang w:val="en-GB"/>
        </w:rPr>
      </w:pPr>
      <w:proofErr w:type="spellStart"/>
      <w:r w:rsidRPr="00F628D1">
        <w:rPr>
          <w:rFonts w:ascii="Calibri" w:hAnsi="Calibri" w:cs="Calibri"/>
          <w:b/>
          <w:szCs w:val="24"/>
          <w:lang w:val="en-GB"/>
        </w:rPr>
        <w:t>Shipbroking</w:t>
      </w:r>
      <w:proofErr w:type="spellEnd"/>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lang w:val="en-GB"/>
        </w:rPr>
      </w:pPr>
      <w:r w:rsidRPr="00F628D1">
        <w:rPr>
          <w:rFonts w:ascii="Calibri" w:hAnsi="Calibri" w:cs="Calibri"/>
          <w:szCs w:val="24"/>
          <w:lang w:val="en-GB"/>
        </w:rPr>
        <w:t xml:space="preserve">Braemar Seascope provides chartering, sale and purchase and consulting </w:t>
      </w:r>
      <w:proofErr w:type="spellStart"/>
      <w:r w:rsidRPr="00F628D1">
        <w:rPr>
          <w:rFonts w:ascii="Calibri" w:hAnsi="Calibri" w:cs="Calibri"/>
          <w:szCs w:val="24"/>
          <w:lang w:val="en-GB"/>
        </w:rPr>
        <w:t>shipbroking</w:t>
      </w:r>
      <w:proofErr w:type="spellEnd"/>
      <w:r w:rsidRPr="00F628D1">
        <w:rPr>
          <w:rFonts w:ascii="Calibri" w:hAnsi="Calibri" w:cs="Calibri"/>
          <w:szCs w:val="24"/>
          <w:lang w:val="en-GB"/>
        </w:rPr>
        <w:t xml:space="preserve"> services to international ship owners, charterers and financial institutions operating in the tanker, gas, chemicals, offshore, container and dry bulk markets. There are </w:t>
      </w:r>
      <w:proofErr w:type="spellStart"/>
      <w:r w:rsidRPr="00F628D1">
        <w:rPr>
          <w:rFonts w:ascii="Calibri" w:hAnsi="Calibri" w:cs="Calibri"/>
          <w:szCs w:val="24"/>
          <w:lang w:val="en-GB"/>
        </w:rPr>
        <w:t>shipbroking</w:t>
      </w:r>
      <w:proofErr w:type="spellEnd"/>
      <w:r w:rsidRPr="00F628D1">
        <w:rPr>
          <w:rFonts w:ascii="Calibri" w:hAnsi="Calibri" w:cs="Calibri"/>
          <w:szCs w:val="24"/>
          <w:lang w:val="en-GB"/>
        </w:rPr>
        <w:t xml:space="preserve"> offices in the UK,</w:t>
      </w:r>
      <w:r w:rsidR="007D1C01">
        <w:rPr>
          <w:rFonts w:ascii="Calibri" w:hAnsi="Calibri" w:cs="Calibri"/>
          <w:szCs w:val="24"/>
          <w:lang w:val="en-GB"/>
        </w:rPr>
        <w:t xml:space="preserve"> USA, Norway,</w:t>
      </w:r>
      <w:r w:rsidRPr="00F628D1">
        <w:rPr>
          <w:rFonts w:ascii="Calibri" w:hAnsi="Calibri" w:cs="Calibri"/>
          <w:szCs w:val="24"/>
          <w:lang w:val="en-GB"/>
        </w:rPr>
        <w:t xml:space="preserve"> China, Australia, Singapore, India</w:t>
      </w:r>
      <w:r w:rsidR="0035670F">
        <w:rPr>
          <w:rFonts w:ascii="Calibri" w:hAnsi="Calibri" w:cs="Calibri"/>
          <w:szCs w:val="24"/>
          <w:lang w:val="en-GB"/>
        </w:rPr>
        <w:t xml:space="preserve"> and</w:t>
      </w:r>
      <w:r w:rsidRPr="00F628D1">
        <w:rPr>
          <w:rFonts w:ascii="Calibri" w:hAnsi="Calibri" w:cs="Calibri"/>
          <w:szCs w:val="24"/>
          <w:lang w:val="en-GB"/>
        </w:rPr>
        <w:t xml:space="preserve"> Italy</w:t>
      </w:r>
      <w:r w:rsidR="00231D43">
        <w:rPr>
          <w:rFonts w:ascii="Calibri" w:hAnsi="Calibri" w:cs="Calibri"/>
          <w:szCs w:val="24"/>
          <w:lang w:val="en-GB"/>
        </w:rPr>
        <w:t>.</w:t>
      </w:r>
    </w:p>
    <w:p w:rsidR="00EF7AF1" w:rsidRDefault="00824D2A"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u w:val="single"/>
          <w:lang w:val="en-GB"/>
        </w:rPr>
      </w:pPr>
      <w:hyperlink r:id="rId10" w:history="1">
        <w:r w:rsidR="008E2AD1" w:rsidRPr="00A12B86">
          <w:rPr>
            <w:rStyle w:val="Hyperlink"/>
            <w:rFonts w:ascii="Calibri" w:hAnsi="Calibri" w:cs="Calibri"/>
            <w:szCs w:val="24"/>
            <w:lang w:val="en-GB"/>
          </w:rPr>
          <w:t>www.braemarseascope.com</w:t>
        </w:r>
      </w:hyperlink>
      <w:r w:rsidR="008E2AD1">
        <w:rPr>
          <w:rFonts w:ascii="Calibri" w:hAnsi="Calibri" w:cs="Calibri"/>
          <w:szCs w:val="24"/>
          <w:u w:val="single"/>
          <w:lang w:val="en-GB"/>
        </w:rPr>
        <w:t xml:space="preserve"> </w:t>
      </w: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u w:val="single"/>
          <w:lang w:val="en-GB"/>
        </w:rPr>
      </w:pPr>
    </w:p>
    <w:p w:rsidR="002B0CA2" w:rsidRDefault="003D07D6"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u w:val="single"/>
          <w:lang w:val="en-GB"/>
        </w:rPr>
      </w:pPr>
      <w:r w:rsidRPr="004E45DF">
        <w:rPr>
          <w:rFonts w:ascii="Calibri" w:hAnsi="Calibri" w:cs="Calibri"/>
          <w:b/>
          <w:noProof/>
          <w:szCs w:val="24"/>
          <w:lang w:val="en-GB" w:eastAsia="en-GB"/>
        </w:rPr>
        <w:drawing>
          <wp:inline distT="0" distB="0" distL="0" distR="0" wp14:anchorId="5E47E689" wp14:editId="0763F455">
            <wp:extent cx="1533433" cy="295275"/>
            <wp:effectExtent l="0" t="0" r="0" b="0"/>
            <wp:docPr id="3" name="Picture 3" descr="C:\Users\avane\AppData\Local\Microsoft\Windows\Temporary Internet Files\Content.Outlook\CX5UEXAQ\follow on twit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ne\AppData\Local\Microsoft\Windows\Temporary Internet Files\Content.Outlook\CX5UEXAQ\follow on twittt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2320" cy="295061"/>
                    </a:xfrm>
                    <a:prstGeom prst="rect">
                      <a:avLst/>
                    </a:prstGeom>
                    <a:noFill/>
                    <a:ln>
                      <a:noFill/>
                    </a:ln>
                  </pic:spPr>
                </pic:pic>
              </a:graphicData>
            </a:graphic>
          </wp:inline>
        </w:drawing>
      </w:r>
    </w:p>
    <w:p w:rsidR="00EF7AF1" w:rsidRDefault="00EF7AF1"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u w:val="single"/>
          <w:lang w:val="en-GB"/>
        </w:rPr>
      </w:pP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Cs w:val="24"/>
          <w:lang w:val="en-GB"/>
        </w:rPr>
      </w:pPr>
      <w:r w:rsidRPr="00F628D1">
        <w:rPr>
          <w:rFonts w:ascii="Calibri" w:hAnsi="Calibri" w:cs="Calibri"/>
          <w:b/>
          <w:szCs w:val="24"/>
          <w:lang w:val="en-GB"/>
        </w:rPr>
        <w:t xml:space="preserve">Technical </w:t>
      </w: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lang w:val="en-GB"/>
        </w:rPr>
      </w:pPr>
      <w:proofErr w:type="spellStart"/>
      <w:r w:rsidRPr="00F628D1">
        <w:rPr>
          <w:rFonts w:ascii="Calibri" w:hAnsi="Calibri" w:cs="Calibri"/>
          <w:szCs w:val="24"/>
          <w:lang w:val="en-GB"/>
        </w:rPr>
        <w:t>Braemar’s</w:t>
      </w:r>
      <w:proofErr w:type="spellEnd"/>
      <w:r w:rsidRPr="00F628D1">
        <w:rPr>
          <w:rFonts w:ascii="Calibri" w:hAnsi="Calibri" w:cs="Calibri"/>
          <w:szCs w:val="24"/>
          <w:lang w:val="en-GB"/>
        </w:rPr>
        <w:t xml:space="preserve"> Technical division provides a range of specialist marine services to the maritime sector. The business </w:t>
      </w:r>
      <w:r w:rsidR="001056A9">
        <w:rPr>
          <w:rFonts w:ascii="Calibri" w:hAnsi="Calibri" w:cs="Calibri"/>
          <w:szCs w:val="24"/>
          <w:lang w:val="en-GB"/>
        </w:rPr>
        <w:t>operates</w:t>
      </w:r>
      <w:r w:rsidRPr="00F628D1">
        <w:rPr>
          <w:rFonts w:ascii="Calibri" w:hAnsi="Calibri" w:cs="Calibri"/>
          <w:szCs w:val="24"/>
          <w:lang w:val="en-GB"/>
        </w:rPr>
        <w:t xml:space="preserve"> under the brand name Braemar Technical Services</w:t>
      </w:r>
      <w:r w:rsidR="001056A9">
        <w:rPr>
          <w:rFonts w:ascii="Calibri" w:hAnsi="Calibri" w:cs="Calibri"/>
          <w:szCs w:val="24"/>
          <w:lang w:val="en-GB"/>
        </w:rPr>
        <w:t xml:space="preserve"> and</w:t>
      </w:r>
      <w:r w:rsidRPr="00F628D1">
        <w:rPr>
          <w:rFonts w:ascii="Calibri" w:hAnsi="Calibri" w:cs="Calibri"/>
          <w:szCs w:val="24"/>
          <w:lang w:val="en-GB"/>
        </w:rPr>
        <w:t xml:space="preserve"> </w:t>
      </w:r>
      <w:r w:rsidR="001056A9">
        <w:rPr>
          <w:rFonts w:ascii="Calibri" w:hAnsi="Calibri" w:cs="Calibri"/>
          <w:szCs w:val="24"/>
          <w:lang w:val="en-GB"/>
        </w:rPr>
        <w:t>t</w:t>
      </w:r>
      <w:r w:rsidRPr="00F628D1">
        <w:rPr>
          <w:rFonts w:ascii="Calibri" w:hAnsi="Calibri" w:cs="Calibri"/>
          <w:szCs w:val="24"/>
          <w:lang w:val="en-GB"/>
        </w:rPr>
        <w:t>he activities of th</w:t>
      </w:r>
      <w:r w:rsidR="00233241">
        <w:rPr>
          <w:rFonts w:ascii="Calibri" w:hAnsi="Calibri" w:cs="Calibri"/>
          <w:szCs w:val="24"/>
          <w:lang w:val="en-GB"/>
        </w:rPr>
        <w:t xml:space="preserve">e division </w:t>
      </w:r>
      <w:r w:rsidR="00C1084C">
        <w:rPr>
          <w:rFonts w:ascii="Calibri" w:hAnsi="Calibri" w:cs="Calibri"/>
          <w:szCs w:val="24"/>
          <w:lang w:val="en-GB"/>
        </w:rPr>
        <w:t>are as follows:</w:t>
      </w: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lang w:val="en-GB"/>
        </w:rPr>
      </w:pPr>
    </w:p>
    <w:p w:rsidR="004A60A3" w:rsidRPr="00C1084C" w:rsidRDefault="006448C5" w:rsidP="00C1084C">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lang w:val="en-GB"/>
        </w:rPr>
      </w:pPr>
      <w:r w:rsidRPr="00C1084C">
        <w:rPr>
          <w:rFonts w:ascii="Calibri" w:hAnsi="Calibri" w:cs="Calibri"/>
          <w:szCs w:val="24"/>
          <w:lang w:val="en-GB"/>
        </w:rPr>
        <w:t xml:space="preserve">Braemar </w:t>
      </w:r>
      <w:r w:rsidR="00233241" w:rsidRPr="00C1084C">
        <w:rPr>
          <w:rFonts w:ascii="Calibri" w:hAnsi="Calibri" w:cs="Calibri"/>
          <w:szCs w:val="24"/>
          <w:lang w:val="en-GB"/>
        </w:rPr>
        <w:t>Adjusting</w:t>
      </w:r>
      <w:r w:rsidR="004A60A3" w:rsidRPr="00C1084C">
        <w:rPr>
          <w:rFonts w:ascii="Calibri" w:hAnsi="Calibri" w:cs="Calibri"/>
          <w:szCs w:val="24"/>
          <w:lang w:val="en-GB"/>
        </w:rPr>
        <w:t xml:space="preserve"> </w:t>
      </w:r>
      <w:r w:rsidRPr="00C1084C">
        <w:rPr>
          <w:rFonts w:ascii="Calibri" w:hAnsi="Calibri" w:cs="Calibri"/>
          <w:szCs w:val="24"/>
          <w:lang w:val="en-GB"/>
        </w:rPr>
        <w:t>provides s</w:t>
      </w:r>
      <w:r w:rsidR="004A60A3" w:rsidRPr="00C1084C">
        <w:rPr>
          <w:rFonts w:ascii="Calibri" w:hAnsi="Calibri" w:cs="Calibri"/>
          <w:szCs w:val="24"/>
          <w:lang w:val="en-GB"/>
        </w:rPr>
        <w:t>pecialist loss adjusting and other expert services to the energy (oil and gas), marine, power and other related industrial sectors. It has offices in London, Houston, S</w:t>
      </w:r>
      <w:r w:rsidR="00233241" w:rsidRPr="00C1084C">
        <w:rPr>
          <w:rFonts w:ascii="Calibri" w:hAnsi="Calibri" w:cs="Calibri"/>
          <w:szCs w:val="24"/>
          <w:lang w:val="en-GB"/>
        </w:rPr>
        <w:t>ingapore, Calgary, and Rio de Janeiro</w:t>
      </w:r>
      <w:r w:rsidR="004A60A3" w:rsidRPr="00C1084C">
        <w:rPr>
          <w:rFonts w:ascii="Calibri" w:hAnsi="Calibri" w:cs="Calibri"/>
          <w:szCs w:val="24"/>
          <w:lang w:val="en-GB"/>
        </w:rPr>
        <w:t>.</w:t>
      </w: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lang w:val="en-GB"/>
        </w:rPr>
      </w:pPr>
    </w:p>
    <w:p w:rsidR="004A60A3" w:rsidRPr="00C1084C" w:rsidRDefault="006448C5" w:rsidP="00C1084C">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lang w:val="en-GB"/>
        </w:rPr>
      </w:pPr>
      <w:r w:rsidRPr="00C1084C">
        <w:rPr>
          <w:rFonts w:ascii="Calibri" w:hAnsi="Calibri" w:cs="Calibri"/>
          <w:szCs w:val="24"/>
          <w:lang w:val="en-GB"/>
        </w:rPr>
        <w:t xml:space="preserve">Braemar </w:t>
      </w:r>
      <w:r w:rsidR="004A60A3" w:rsidRPr="00C1084C">
        <w:rPr>
          <w:rFonts w:ascii="Calibri" w:hAnsi="Calibri" w:cs="Calibri"/>
          <w:szCs w:val="24"/>
          <w:lang w:val="en-GB"/>
        </w:rPr>
        <w:t>Offshore</w:t>
      </w:r>
      <w:r w:rsidRPr="00C1084C">
        <w:rPr>
          <w:rFonts w:ascii="Calibri" w:hAnsi="Calibri" w:cs="Calibri"/>
          <w:szCs w:val="24"/>
          <w:lang w:val="en-GB"/>
        </w:rPr>
        <w:t xml:space="preserve"> provides</w:t>
      </w:r>
      <w:r w:rsidR="004A60A3" w:rsidRPr="00C1084C">
        <w:rPr>
          <w:rFonts w:ascii="Calibri" w:hAnsi="Calibri" w:cs="Calibri"/>
          <w:szCs w:val="24"/>
          <w:lang w:val="en-GB"/>
        </w:rPr>
        <w:t xml:space="preserve"> specialised marine and offshore services</w:t>
      </w:r>
      <w:r w:rsidR="001628B4" w:rsidRPr="00C1084C">
        <w:rPr>
          <w:rFonts w:ascii="Calibri" w:hAnsi="Calibri" w:cs="Calibri"/>
          <w:szCs w:val="24"/>
          <w:lang w:val="en-GB"/>
        </w:rPr>
        <w:t xml:space="preserve"> mainly performing pre-risk marine warranty surveys</w:t>
      </w:r>
      <w:r w:rsidR="004A60A3" w:rsidRPr="00C1084C">
        <w:rPr>
          <w:rFonts w:ascii="Calibri" w:hAnsi="Calibri" w:cs="Calibri"/>
          <w:szCs w:val="24"/>
          <w:lang w:val="en-GB"/>
        </w:rPr>
        <w:t>. It has offices in the UK, Australia, China, India, Indonesia, Malaysia, Singapore</w:t>
      </w:r>
      <w:r w:rsidR="00496A9C">
        <w:rPr>
          <w:rFonts w:ascii="Calibri" w:hAnsi="Calibri" w:cs="Calibri"/>
          <w:szCs w:val="24"/>
          <w:lang w:val="en-GB"/>
        </w:rPr>
        <w:t>, Thailand</w:t>
      </w:r>
      <w:r w:rsidR="004A60A3" w:rsidRPr="00C1084C">
        <w:rPr>
          <w:rFonts w:ascii="Calibri" w:hAnsi="Calibri" w:cs="Calibri"/>
          <w:szCs w:val="24"/>
          <w:lang w:val="en-GB"/>
        </w:rPr>
        <w:t xml:space="preserve"> and Vietnam.</w:t>
      </w: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lang w:val="en-GB"/>
        </w:rPr>
      </w:pPr>
    </w:p>
    <w:p w:rsidR="006448C5" w:rsidRPr="00C1084C" w:rsidRDefault="006448C5" w:rsidP="00C1084C">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lang w:val="en-GB"/>
        </w:rPr>
      </w:pPr>
      <w:r w:rsidRPr="00C1084C">
        <w:rPr>
          <w:rFonts w:ascii="Calibri" w:hAnsi="Calibri" w:cs="Calibri"/>
          <w:szCs w:val="24"/>
          <w:lang w:val="en-GB"/>
        </w:rPr>
        <w:t>Braemar</w:t>
      </w:r>
      <w:r w:rsidR="00150F05">
        <w:rPr>
          <w:rFonts w:ascii="Calibri" w:hAnsi="Calibri" w:cs="Calibri"/>
          <w:szCs w:val="24"/>
          <w:lang w:val="en-GB"/>
        </w:rPr>
        <w:t xml:space="preserve"> incorporating The Salvage Association</w:t>
      </w:r>
      <w:r w:rsidRPr="00C1084C">
        <w:rPr>
          <w:rFonts w:ascii="Calibri" w:hAnsi="Calibri" w:cs="Calibri"/>
          <w:szCs w:val="24"/>
          <w:lang w:val="en-GB"/>
        </w:rPr>
        <w:t xml:space="preserve"> </w:t>
      </w:r>
      <w:r w:rsidR="00150F05">
        <w:rPr>
          <w:rFonts w:ascii="Calibri" w:hAnsi="Calibri" w:cs="Calibri"/>
          <w:szCs w:val="24"/>
          <w:lang w:val="en-GB"/>
        </w:rPr>
        <w:t xml:space="preserve">(Braemar </w:t>
      </w:r>
      <w:r w:rsidR="00C1084C" w:rsidRPr="00C1084C">
        <w:rPr>
          <w:rFonts w:ascii="Calibri" w:hAnsi="Calibri" w:cs="Calibri"/>
          <w:szCs w:val="24"/>
          <w:lang w:val="en-GB"/>
        </w:rPr>
        <w:t>SA</w:t>
      </w:r>
      <w:r w:rsidR="00150F05">
        <w:rPr>
          <w:rFonts w:ascii="Calibri" w:hAnsi="Calibri" w:cs="Calibri"/>
          <w:szCs w:val="24"/>
          <w:lang w:val="en-GB"/>
        </w:rPr>
        <w:t>)</w:t>
      </w:r>
      <w:r w:rsidR="004A60A3" w:rsidRPr="00C1084C">
        <w:rPr>
          <w:rFonts w:ascii="Calibri" w:hAnsi="Calibri" w:cs="Calibri"/>
          <w:szCs w:val="24"/>
          <w:lang w:val="en-GB"/>
        </w:rPr>
        <w:t xml:space="preserve"> </w:t>
      </w:r>
      <w:r w:rsidRPr="00C1084C">
        <w:rPr>
          <w:rFonts w:ascii="Calibri" w:hAnsi="Calibri" w:cs="Calibri"/>
          <w:szCs w:val="24"/>
          <w:lang w:val="en-GB"/>
        </w:rPr>
        <w:t>provides marine consultancy and surveying services to the shipping, energy, offshore and insurance industries</w:t>
      </w:r>
      <w:r w:rsidR="002B3F24">
        <w:rPr>
          <w:rFonts w:ascii="Calibri" w:hAnsi="Calibri" w:cs="Calibri"/>
          <w:szCs w:val="24"/>
          <w:lang w:val="en-GB"/>
        </w:rPr>
        <w:t>. I</w:t>
      </w:r>
      <w:r w:rsidR="001628B4" w:rsidRPr="00C1084C">
        <w:rPr>
          <w:rFonts w:ascii="Calibri" w:hAnsi="Calibri" w:cs="Calibri"/>
          <w:szCs w:val="24"/>
          <w:lang w:val="en-GB"/>
        </w:rPr>
        <w:t xml:space="preserve">t has a network of offices </w:t>
      </w:r>
      <w:r w:rsidR="00564533">
        <w:rPr>
          <w:rFonts w:ascii="Calibri" w:hAnsi="Calibri" w:cs="Calibri"/>
          <w:szCs w:val="24"/>
          <w:lang w:val="en-GB"/>
        </w:rPr>
        <w:t xml:space="preserve">in Asia, Europe and the US </w:t>
      </w:r>
      <w:r w:rsidR="001628B4" w:rsidRPr="00C1084C">
        <w:rPr>
          <w:rFonts w:ascii="Calibri" w:hAnsi="Calibri" w:cs="Calibri"/>
          <w:szCs w:val="24"/>
          <w:lang w:val="en-GB"/>
        </w:rPr>
        <w:t>that undertake marine damage surveys for the insurance industry.</w:t>
      </w:r>
      <w:r w:rsidR="004A60A3" w:rsidRPr="00C1084C">
        <w:rPr>
          <w:rFonts w:ascii="Calibri" w:hAnsi="Calibri" w:cs="Calibri"/>
          <w:szCs w:val="24"/>
          <w:lang w:val="en-GB"/>
        </w:rPr>
        <w:t xml:space="preserve"> </w:t>
      </w:r>
    </w:p>
    <w:p w:rsidR="006448C5" w:rsidRDefault="006448C5"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lang w:val="en-GB"/>
        </w:rPr>
      </w:pPr>
    </w:p>
    <w:p w:rsidR="006448C5" w:rsidRPr="00C1084C" w:rsidRDefault="006448C5" w:rsidP="00C1084C">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lang w:val="en-GB"/>
        </w:rPr>
      </w:pPr>
      <w:r w:rsidRPr="00C1084C">
        <w:rPr>
          <w:rFonts w:ascii="Calibri" w:hAnsi="Calibri" w:cs="Calibri"/>
          <w:szCs w:val="24"/>
          <w:lang w:val="en-GB"/>
        </w:rPr>
        <w:t xml:space="preserve">Braemar </w:t>
      </w:r>
      <w:r w:rsidR="004A60A3" w:rsidRPr="00C1084C">
        <w:rPr>
          <w:rFonts w:ascii="Calibri" w:hAnsi="Calibri" w:cs="Calibri"/>
          <w:szCs w:val="24"/>
          <w:lang w:val="en-GB"/>
        </w:rPr>
        <w:t>Engineering</w:t>
      </w:r>
      <w:r w:rsidRPr="00C1084C">
        <w:rPr>
          <w:rFonts w:ascii="Calibri" w:hAnsi="Calibri" w:cs="Calibri"/>
          <w:szCs w:val="24"/>
          <w:lang w:val="en-GB"/>
        </w:rPr>
        <w:t xml:space="preserve"> provides</w:t>
      </w:r>
      <w:r w:rsidR="004A60A3" w:rsidRPr="00C1084C">
        <w:rPr>
          <w:rFonts w:ascii="Calibri" w:hAnsi="Calibri" w:cs="Calibri"/>
          <w:szCs w:val="24"/>
          <w:lang w:val="en-GB"/>
        </w:rPr>
        <w:t xml:space="preserve"> consultant marine engineering and naval architecture services to the shipping and offshore markets</w:t>
      </w:r>
      <w:r w:rsidR="001628B4" w:rsidRPr="00C1084C">
        <w:rPr>
          <w:rFonts w:ascii="Calibri" w:hAnsi="Calibri" w:cs="Calibri"/>
          <w:szCs w:val="24"/>
          <w:lang w:val="en-GB"/>
        </w:rPr>
        <w:t xml:space="preserve"> from</w:t>
      </w:r>
      <w:r w:rsidR="004A60A3" w:rsidRPr="00C1084C">
        <w:rPr>
          <w:rFonts w:ascii="Calibri" w:hAnsi="Calibri" w:cs="Calibri"/>
          <w:szCs w:val="24"/>
          <w:lang w:val="en-GB"/>
        </w:rPr>
        <w:t xml:space="preserve"> </w:t>
      </w:r>
      <w:r w:rsidRPr="00C1084C">
        <w:rPr>
          <w:rFonts w:ascii="Calibri" w:hAnsi="Calibri" w:cs="Calibri"/>
          <w:szCs w:val="24"/>
          <w:lang w:val="en-GB"/>
        </w:rPr>
        <w:t xml:space="preserve">offices throughout the Far East and London. </w:t>
      </w:r>
      <w:r w:rsidR="004A60A3" w:rsidRPr="00C1084C">
        <w:rPr>
          <w:rFonts w:ascii="Calibri" w:hAnsi="Calibri" w:cs="Calibri"/>
          <w:szCs w:val="24"/>
          <w:lang w:val="en-GB"/>
        </w:rPr>
        <w:t xml:space="preserve">Braemar Casbarian provides consulting engineering services </w:t>
      </w:r>
      <w:r w:rsidR="001628B4" w:rsidRPr="00C1084C">
        <w:rPr>
          <w:rFonts w:ascii="Calibri" w:hAnsi="Calibri" w:cs="Calibri"/>
          <w:szCs w:val="24"/>
          <w:lang w:val="en-GB"/>
        </w:rPr>
        <w:t xml:space="preserve">mainly </w:t>
      </w:r>
      <w:r w:rsidR="004A60A3" w:rsidRPr="00C1084C">
        <w:rPr>
          <w:rFonts w:ascii="Calibri" w:hAnsi="Calibri" w:cs="Calibri"/>
          <w:szCs w:val="24"/>
          <w:lang w:val="en-GB"/>
        </w:rPr>
        <w:t xml:space="preserve">to the offshore industry </w:t>
      </w:r>
      <w:r w:rsidR="001628B4" w:rsidRPr="00C1084C">
        <w:rPr>
          <w:rFonts w:ascii="Calibri" w:hAnsi="Calibri" w:cs="Calibri"/>
          <w:szCs w:val="24"/>
          <w:lang w:val="en-GB"/>
        </w:rPr>
        <w:t xml:space="preserve">in the Gulf of Mexico </w:t>
      </w:r>
      <w:r w:rsidR="004A60A3" w:rsidRPr="00C1084C">
        <w:rPr>
          <w:rFonts w:ascii="Calibri" w:hAnsi="Calibri" w:cs="Calibri"/>
          <w:szCs w:val="24"/>
          <w:lang w:val="en-GB"/>
        </w:rPr>
        <w:t>from offices in New Orleans, Houston and Trinidad.</w:t>
      </w:r>
    </w:p>
    <w:p w:rsidR="00C1084C" w:rsidRDefault="00C1084C"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u w:val="single"/>
          <w:lang w:val="en-GB"/>
        </w:rPr>
      </w:pPr>
    </w:p>
    <w:p w:rsidR="006448C5" w:rsidRPr="008F32A5" w:rsidRDefault="006448C5"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u w:val="single"/>
          <w:lang w:val="en-GB"/>
        </w:rPr>
      </w:pPr>
      <w:r w:rsidRPr="008F32A5">
        <w:rPr>
          <w:rFonts w:ascii="Calibri" w:hAnsi="Calibri" w:cs="Calibri"/>
          <w:szCs w:val="24"/>
          <w:u w:val="single"/>
          <w:lang w:val="en-GB"/>
        </w:rPr>
        <w:t>www.braemar.com</w:t>
      </w: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u w:val="single"/>
          <w:lang w:val="en-GB"/>
        </w:rPr>
      </w:pP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Cs w:val="24"/>
          <w:lang w:val="en-GB"/>
        </w:rPr>
      </w:pPr>
      <w:r w:rsidRPr="00F628D1">
        <w:rPr>
          <w:rFonts w:ascii="Calibri" w:hAnsi="Calibri" w:cs="Calibri"/>
          <w:b/>
          <w:szCs w:val="24"/>
          <w:lang w:val="en-GB"/>
        </w:rPr>
        <w:t>Logistics</w:t>
      </w: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lang w:val="en-GB"/>
        </w:rPr>
      </w:pPr>
      <w:r w:rsidRPr="00F628D1">
        <w:rPr>
          <w:rFonts w:ascii="Calibri" w:hAnsi="Calibri" w:cs="Calibri"/>
          <w:szCs w:val="24"/>
          <w:lang w:val="en-GB"/>
        </w:rPr>
        <w:t xml:space="preserve">Cory Brothers Shipping Agency provides </w:t>
      </w:r>
      <w:r w:rsidR="007034E8">
        <w:rPr>
          <w:rFonts w:ascii="Calibri" w:hAnsi="Calibri" w:cs="Calibri"/>
          <w:szCs w:val="24"/>
          <w:lang w:val="en-GB"/>
        </w:rPr>
        <w:t>ship</w:t>
      </w:r>
      <w:r w:rsidRPr="00F628D1">
        <w:rPr>
          <w:rFonts w:ascii="Calibri" w:hAnsi="Calibri" w:cs="Calibri"/>
          <w:szCs w:val="24"/>
          <w:lang w:val="en-GB"/>
        </w:rPr>
        <w:t xml:space="preserve"> agency, freight forwarding and logistics services within the UK and Singapore.</w:t>
      </w: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u w:val="single"/>
          <w:lang w:val="en-GB"/>
        </w:rPr>
      </w:pPr>
      <w:r w:rsidRPr="00F628D1">
        <w:rPr>
          <w:rFonts w:ascii="Calibri" w:hAnsi="Calibri" w:cs="Calibri"/>
          <w:szCs w:val="24"/>
          <w:u w:val="single"/>
          <w:lang w:val="en-GB"/>
        </w:rPr>
        <w:t>www.cory.co.uk</w:t>
      </w: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u w:val="single"/>
          <w:lang w:val="en-GB"/>
        </w:rPr>
      </w:pP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Cs w:val="24"/>
          <w:lang w:val="en-GB"/>
        </w:rPr>
      </w:pPr>
      <w:r w:rsidRPr="00F628D1">
        <w:rPr>
          <w:rFonts w:ascii="Calibri" w:hAnsi="Calibri" w:cs="Calibri"/>
          <w:b/>
          <w:szCs w:val="24"/>
          <w:lang w:val="en-GB"/>
        </w:rPr>
        <w:t xml:space="preserve">Environmental </w:t>
      </w: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Cs w:val="24"/>
          <w:lang w:val="en-GB"/>
        </w:rPr>
      </w:pPr>
      <w:r w:rsidRPr="00F628D1">
        <w:rPr>
          <w:rFonts w:ascii="Calibri" w:hAnsi="Calibri" w:cs="Calibri"/>
          <w:szCs w:val="24"/>
          <w:lang w:val="en-GB"/>
        </w:rPr>
        <w:t>Braemar Howells provides pollution response and advisory services primarily in the UK and Africa and is continuing to develop an international presence.</w:t>
      </w:r>
      <w:r w:rsidR="00DB79CB">
        <w:rPr>
          <w:rFonts w:ascii="Calibri" w:hAnsi="Calibri" w:cs="Calibri"/>
          <w:szCs w:val="24"/>
          <w:lang w:val="en-GB"/>
        </w:rPr>
        <w:t xml:space="preserve"> It has earned an international reputation for its work for the insurance industry in handling the containers from stricken vessels.</w:t>
      </w:r>
    </w:p>
    <w:p w:rsidR="004A60A3" w:rsidRPr="00F628D1" w:rsidRDefault="004A60A3" w:rsidP="004A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bCs/>
          <w:szCs w:val="24"/>
          <w:u w:val="single"/>
          <w:lang w:val="en-GB"/>
        </w:rPr>
      </w:pPr>
      <w:r w:rsidRPr="00F628D1">
        <w:rPr>
          <w:rFonts w:ascii="Calibri" w:hAnsi="Calibri" w:cs="Calibri"/>
          <w:szCs w:val="24"/>
          <w:u w:val="single"/>
          <w:lang w:val="en-GB"/>
        </w:rPr>
        <w:t>www.braemarhowells.com</w:t>
      </w:r>
    </w:p>
    <w:p w:rsidR="002B0CA2" w:rsidRDefault="002B0CA2">
      <w:pPr>
        <w:rPr>
          <w:rFonts w:ascii="Calibri" w:hAnsi="Calibri" w:cs="Arial"/>
          <w:b/>
          <w:bCs/>
          <w:szCs w:val="24"/>
          <w:u w:val="single"/>
          <w:lang w:val="en-GB"/>
        </w:rPr>
      </w:pPr>
      <w:r>
        <w:rPr>
          <w:rFonts w:ascii="Calibri" w:hAnsi="Calibri" w:cs="Arial"/>
          <w:b/>
          <w:bCs/>
          <w:szCs w:val="24"/>
          <w:u w:val="single"/>
          <w:lang w:val="en-GB"/>
        </w:rPr>
        <w:br w:type="page"/>
      </w:r>
    </w:p>
    <w:p w:rsidR="00132A04" w:rsidRDefault="00132A04">
      <w:pPr>
        <w:rPr>
          <w:rFonts w:ascii="Calibri" w:hAnsi="Calibri" w:cs="Arial"/>
          <w:b/>
          <w:bCs/>
          <w:szCs w:val="24"/>
          <w:u w:val="single"/>
          <w:lang w:val="en-GB"/>
        </w:rPr>
      </w:pPr>
    </w:p>
    <w:p w:rsidR="000433F6" w:rsidRPr="00D440C9" w:rsidRDefault="000433F6" w:rsidP="00DC2B04">
      <w:pPr>
        <w:pStyle w:val="Heading8"/>
        <w:tabs>
          <w:tab w:val="clear" w:pos="1800"/>
          <w:tab w:val="clear" w:pos="2232"/>
          <w:tab w:val="clear" w:pos="2520"/>
          <w:tab w:val="clear" w:pos="3696"/>
          <w:tab w:val="clear" w:pos="9000"/>
          <w:tab w:val="clear" w:pos="11736"/>
        </w:tabs>
        <w:spacing w:line="288" w:lineRule="auto"/>
        <w:jc w:val="center"/>
        <w:rPr>
          <w:rFonts w:ascii="Calibri" w:hAnsi="Calibri" w:cs="Arial"/>
          <w:b/>
          <w:bCs/>
          <w:szCs w:val="24"/>
        </w:rPr>
      </w:pPr>
      <w:r w:rsidRPr="00D440C9">
        <w:rPr>
          <w:rFonts w:ascii="Calibri" w:hAnsi="Calibri" w:cs="Arial"/>
          <w:b/>
          <w:bCs/>
          <w:szCs w:val="24"/>
        </w:rPr>
        <w:t>PRELIMINARY ANNOUNCEMENT – YEAR ENDED 2</w:t>
      </w:r>
      <w:r w:rsidR="002B3F24">
        <w:rPr>
          <w:rFonts w:ascii="Calibri" w:hAnsi="Calibri" w:cs="Arial"/>
          <w:b/>
          <w:bCs/>
          <w:szCs w:val="24"/>
        </w:rPr>
        <w:t>8</w:t>
      </w:r>
      <w:r w:rsidR="00A819CA" w:rsidRPr="00D440C9">
        <w:rPr>
          <w:rFonts w:ascii="Calibri" w:hAnsi="Calibri" w:cs="Arial"/>
          <w:b/>
          <w:bCs/>
          <w:szCs w:val="24"/>
        </w:rPr>
        <w:t xml:space="preserve"> F</w:t>
      </w:r>
      <w:r w:rsidR="003D489D" w:rsidRPr="00D440C9">
        <w:rPr>
          <w:rFonts w:ascii="Calibri" w:hAnsi="Calibri" w:cs="Arial"/>
          <w:b/>
          <w:bCs/>
          <w:szCs w:val="24"/>
        </w:rPr>
        <w:t>EBRUARY</w:t>
      </w:r>
      <w:r w:rsidR="00A819CA" w:rsidRPr="00D440C9">
        <w:rPr>
          <w:rFonts w:ascii="Calibri" w:hAnsi="Calibri" w:cs="Arial"/>
          <w:b/>
          <w:bCs/>
          <w:szCs w:val="24"/>
        </w:rPr>
        <w:t xml:space="preserve"> 20</w:t>
      </w:r>
      <w:r w:rsidR="005D5670" w:rsidRPr="00D440C9">
        <w:rPr>
          <w:rFonts w:ascii="Calibri" w:hAnsi="Calibri" w:cs="Arial"/>
          <w:b/>
          <w:bCs/>
          <w:szCs w:val="24"/>
        </w:rPr>
        <w:t>1</w:t>
      </w:r>
      <w:r w:rsidR="002B3F24">
        <w:rPr>
          <w:rFonts w:ascii="Calibri" w:hAnsi="Calibri" w:cs="Arial"/>
          <w:b/>
          <w:bCs/>
          <w:szCs w:val="24"/>
        </w:rPr>
        <w:t>3</w:t>
      </w:r>
    </w:p>
    <w:p w:rsidR="00B07651" w:rsidRPr="00D440C9" w:rsidRDefault="000433F6" w:rsidP="008C2449">
      <w:pPr>
        <w:spacing w:after="120" w:line="288" w:lineRule="auto"/>
        <w:jc w:val="center"/>
        <w:rPr>
          <w:rFonts w:ascii="Calibri" w:hAnsi="Calibri" w:cs="Arial"/>
          <w:b/>
          <w:bCs/>
          <w:szCs w:val="24"/>
          <w:lang w:val="en-GB"/>
        </w:rPr>
      </w:pPr>
      <w:r w:rsidRPr="00D440C9">
        <w:rPr>
          <w:rFonts w:ascii="Calibri" w:hAnsi="Calibri" w:cs="Arial"/>
          <w:b/>
          <w:bCs/>
          <w:szCs w:val="24"/>
          <w:lang w:val="en-GB"/>
        </w:rPr>
        <w:t>CHAIRMAN’S STATEMENT</w:t>
      </w:r>
    </w:p>
    <w:p w:rsidR="002B3F24" w:rsidRPr="002B3F24" w:rsidRDefault="002B3F24" w:rsidP="00E43AD8">
      <w:pPr>
        <w:autoSpaceDE w:val="0"/>
        <w:autoSpaceDN w:val="0"/>
        <w:adjustRightInd w:val="0"/>
        <w:jc w:val="both"/>
        <w:rPr>
          <w:rFonts w:asciiTheme="minorHAnsi" w:hAnsiTheme="minorHAnsi" w:cs="HelveticaNeueLTStd-Bd"/>
          <w:b/>
          <w:color w:val="000000"/>
          <w:szCs w:val="24"/>
          <w:lang w:val="en-GB"/>
        </w:rPr>
      </w:pPr>
      <w:r w:rsidRPr="002B3F24">
        <w:rPr>
          <w:rFonts w:asciiTheme="minorHAnsi" w:hAnsiTheme="minorHAnsi" w:cs="HelveticaNeueLTStd-Bd"/>
          <w:b/>
          <w:color w:val="000000"/>
          <w:szCs w:val="24"/>
          <w:lang w:val="en-GB"/>
        </w:rPr>
        <w:t>Overview</w:t>
      </w:r>
    </w:p>
    <w:p w:rsidR="002B3F24" w:rsidRDefault="002B3F24" w:rsidP="00C8110A">
      <w:pPr>
        <w:autoSpaceDE w:val="0"/>
        <w:autoSpaceDN w:val="0"/>
        <w:adjustRightInd w:val="0"/>
        <w:jc w:val="both"/>
        <w:rPr>
          <w:rFonts w:asciiTheme="minorHAnsi" w:hAnsiTheme="minorHAnsi" w:cs="HelveticaNeueLTStd-Lt"/>
          <w:color w:val="000000"/>
          <w:szCs w:val="24"/>
          <w:lang w:val="en-GB"/>
        </w:rPr>
      </w:pPr>
      <w:r w:rsidRPr="002B3F24">
        <w:rPr>
          <w:rFonts w:asciiTheme="minorHAnsi" w:hAnsiTheme="minorHAnsi" w:cs="HelveticaNeueLTStd-Lt"/>
          <w:color w:val="000000"/>
          <w:szCs w:val="24"/>
          <w:lang w:val="en-GB"/>
        </w:rPr>
        <w:t xml:space="preserve">The strategy adopted by your </w:t>
      </w:r>
      <w:r w:rsidR="00AE5CE7">
        <w:rPr>
          <w:rFonts w:asciiTheme="minorHAnsi" w:hAnsiTheme="minorHAnsi" w:cs="HelveticaNeueLTStd-Lt"/>
          <w:color w:val="000000"/>
          <w:szCs w:val="24"/>
          <w:lang w:val="en-GB"/>
        </w:rPr>
        <w:t>B</w:t>
      </w:r>
      <w:r w:rsidRPr="002B3F24">
        <w:rPr>
          <w:rFonts w:asciiTheme="minorHAnsi" w:hAnsiTheme="minorHAnsi" w:cs="HelveticaNeueLTStd-Lt"/>
          <w:color w:val="000000"/>
          <w:szCs w:val="24"/>
          <w:lang w:val="en-GB"/>
        </w:rPr>
        <w:t>oard of progressive</w:t>
      </w:r>
      <w:r>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 xml:space="preserve">diversification into </w:t>
      </w:r>
      <w:r w:rsidR="009E527F">
        <w:rPr>
          <w:rFonts w:asciiTheme="minorHAnsi" w:hAnsiTheme="minorHAnsi" w:cs="HelveticaNeueLTStd-Lt"/>
          <w:color w:val="000000"/>
          <w:szCs w:val="24"/>
          <w:lang w:val="en-GB"/>
        </w:rPr>
        <w:t>maritime</w:t>
      </w:r>
      <w:r w:rsidRPr="002B3F24">
        <w:rPr>
          <w:rFonts w:asciiTheme="minorHAnsi" w:hAnsiTheme="minorHAnsi" w:cs="HelveticaNeueLTStd-Lt"/>
          <w:color w:val="000000"/>
          <w:szCs w:val="24"/>
          <w:lang w:val="en-GB"/>
        </w:rPr>
        <w:t xml:space="preserve"> services has</w:t>
      </w:r>
      <w:r>
        <w:rPr>
          <w:rFonts w:asciiTheme="minorHAnsi" w:hAnsiTheme="minorHAnsi" w:cs="HelveticaNeueLTStd-Lt"/>
          <w:color w:val="000000"/>
          <w:szCs w:val="24"/>
          <w:lang w:val="en-GB"/>
        </w:rPr>
        <w:t xml:space="preserve"> c</w:t>
      </w:r>
      <w:r w:rsidRPr="002B3F24">
        <w:rPr>
          <w:rFonts w:asciiTheme="minorHAnsi" w:hAnsiTheme="minorHAnsi" w:cs="HelveticaNeueLTStd-Lt"/>
          <w:color w:val="000000"/>
          <w:szCs w:val="24"/>
          <w:lang w:val="en-GB"/>
        </w:rPr>
        <w:t>reated valuable</w:t>
      </w:r>
      <w:r>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stability in challenging times. There has been no respite from</w:t>
      </w:r>
      <w:r>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 xml:space="preserve">the downturn in the shipping markets in 2012/13 and </w:t>
      </w:r>
      <w:r w:rsidR="008C2449">
        <w:rPr>
          <w:rFonts w:asciiTheme="minorHAnsi" w:hAnsiTheme="minorHAnsi" w:cs="HelveticaNeueLTStd-Lt"/>
          <w:color w:val="000000"/>
          <w:szCs w:val="24"/>
          <w:lang w:val="en-GB"/>
        </w:rPr>
        <w:t xml:space="preserve">although </w:t>
      </w:r>
      <w:r w:rsidRPr="002B3F24">
        <w:rPr>
          <w:rFonts w:asciiTheme="minorHAnsi" w:hAnsiTheme="minorHAnsi" w:cs="HelveticaNeueLTStd-Lt"/>
          <w:color w:val="000000"/>
          <w:szCs w:val="24"/>
          <w:lang w:val="en-GB"/>
        </w:rPr>
        <w:t>this has</w:t>
      </w:r>
      <w:r>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 xml:space="preserve">had a direct effect on </w:t>
      </w:r>
      <w:proofErr w:type="spellStart"/>
      <w:r w:rsidR="008C2449">
        <w:rPr>
          <w:rFonts w:asciiTheme="minorHAnsi" w:hAnsiTheme="minorHAnsi" w:cs="HelveticaNeueLTStd-Lt"/>
          <w:color w:val="000000"/>
          <w:szCs w:val="24"/>
          <w:lang w:val="en-GB"/>
        </w:rPr>
        <w:t>S</w:t>
      </w:r>
      <w:r w:rsidRPr="002B3F24">
        <w:rPr>
          <w:rFonts w:asciiTheme="minorHAnsi" w:hAnsiTheme="minorHAnsi" w:cs="HelveticaNeueLTStd-Lt"/>
          <w:color w:val="000000"/>
          <w:szCs w:val="24"/>
          <w:lang w:val="en-GB"/>
        </w:rPr>
        <w:t>hipbroking</w:t>
      </w:r>
      <w:proofErr w:type="spellEnd"/>
      <w:r w:rsidR="008C2449">
        <w:rPr>
          <w:rFonts w:asciiTheme="minorHAnsi" w:hAnsiTheme="minorHAnsi" w:cs="HelveticaNeueLTStd-Lt"/>
          <w:color w:val="000000"/>
          <w:szCs w:val="24"/>
          <w:lang w:val="en-GB"/>
        </w:rPr>
        <w:t xml:space="preserve">, the division performed well in a challenging market and we feel confident that it is </w:t>
      </w:r>
      <w:r w:rsidR="00231D43">
        <w:rPr>
          <w:rFonts w:asciiTheme="minorHAnsi" w:hAnsiTheme="minorHAnsi" w:cs="HelveticaNeueLTStd-Lt"/>
          <w:color w:val="000000"/>
          <w:szCs w:val="24"/>
          <w:lang w:val="en-GB"/>
        </w:rPr>
        <w:t>in a strong</w:t>
      </w:r>
      <w:r w:rsidR="008C2449">
        <w:rPr>
          <w:rFonts w:asciiTheme="minorHAnsi" w:hAnsiTheme="minorHAnsi" w:cs="HelveticaNeueLTStd-Lt"/>
          <w:color w:val="000000"/>
          <w:szCs w:val="24"/>
          <w:lang w:val="en-GB"/>
        </w:rPr>
        <w:t xml:space="preserve"> position to benefit from the recovery</w:t>
      </w:r>
      <w:r w:rsidR="007B273C">
        <w:rPr>
          <w:rFonts w:asciiTheme="minorHAnsi" w:hAnsiTheme="minorHAnsi" w:cs="HelveticaNeueLTStd-Lt"/>
          <w:color w:val="000000"/>
          <w:szCs w:val="24"/>
          <w:lang w:val="en-GB"/>
        </w:rPr>
        <w:t xml:space="preserve"> when it comes</w:t>
      </w:r>
      <w:r w:rsidR="008C2449">
        <w:rPr>
          <w:rFonts w:asciiTheme="minorHAnsi" w:hAnsiTheme="minorHAnsi" w:cs="HelveticaNeueLTStd-Lt"/>
          <w:color w:val="000000"/>
          <w:szCs w:val="24"/>
          <w:lang w:val="en-GB"/>
        </w:rPr>
        <w:t>. M</w:t>
      </w:r>
      <w:r w:rsidRPr="002B3F24">
        <w:rPr>
          <w:rFonts w:asciiTheme="minorHAnsi" w:hAnsiTheme="minorHAnsi" w:cs="HelveticaNeueLTStd-Lt"/>
          <w:color w:val="000000"/>
          <w:szCs w:val="24"/>
          <w:lang w:val="en-GB"/>
        </w:rPr>
        <w:t>any of our other</w:t>
      </w:r>
      <w:r>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 xml:space="preserve">businesses are driven by the </w:t>
      </w:r>
      <w:r w:rsidR="007B273C">
        <w:rPr>
          <w:rFonts w:asciiTheme="minorHAnsi" w:hAnsiTheme="minorHAnsi" w:cs="HelveticaNeueLTStd-Lt"/>
          <w:color w:val="000000"/>
          <w:szCs w:val="24"/>
          <w:lang w:val="en-GB"/>
        </w:rPr>
        <w:t>volume</w:t>
      </w:r>
      <w:r w:rsidRPr="002B3F24">
        <w:rPr>
          <w:rFonts w:asciiTheme="minorHAnsi" w:hAnsiTheme="minorHAnsi" w:cs="HelveticaNeueLTStd-Lt"/>
          <w:color w:val="000000"/>
          <w:szCs w:val="24"/>
          <w:lang w:val="en-GB"/>
        </w:rPr>
        <w:t xml:space="preserve"> of shipping and energy</w:t>
      </w:r>
      <w:r>
        <w:rPr>
          <w:rFonts w:asciiTheme="minorHAnsi" w:hAnsiTheme="minorHAnsi" w:cs="HelveticaNeueLTStd-Lt"/>
          <w:color w:val="000000"/>
          <w:szCs w:val="24"/>
          <w:lang w:val="en-GB"/>
        </w:rPr>
        <w:t>-</w:t>
      </w:r>
      <w:r w:rsidRPr="002B3F24">
        <w:rPr>
          <w:rFonts w:asciiTheme="minorHAnsi" w:hAnsiTheme="minorHAnsi" w:cs="HelveticaNeueLTStd-Lt"/>
          <w:color w:val="000000"/>
          <w:szCs w:val="24"/>
          <w:lang w:val="en-GB"/>
        </w:rPr>
        <w:t>related</w:t>
      </w:r>
      <w:r>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activity and not by the value of that activity. As a result</w:t>
      </w:r>
      <w:r>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our Technical, Logistics and Environmental divisions have</w:t>
      </w:r>
      <w:r w:rsidR="00F41101">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had a strong year</w:t>
      </w:r>
      <w:r w:rsidR="007B273C">
        <w:rPr>
          <w:rFonts w:asciiTheme="minorHAnsi" w:hAnsiTheme="minorHAnsi" w:cs="HelveticaNeueLTStd-Lt"/>
          <w:color w:val="000000"/>
          <w:szCs w:val="24"/>
          <w:lang w:val="en-GB"/>
        </w:rPr>
        <w:t>,</w:t>
      </w:r>
      <w:r w:rsidR="008C2449">
        <w:rPr>
          <w:rFonts w:asciiTheme="minorHAnsi" w:hAnsiTheme="minorHAnsi" w:cs="HelveticaNeueLTStd-Lt"/>
          <w:color w:val="000000"/>
          <w:szCs w:val="24"/>
          <w:lang w:val="en-GB"/>
        </w:rPr>
        <w:t xml:space="preserve"> with increased operating profit from all three divisions.</w:t>
      </w:r>
      <w:r w:rsidRPr="002B3F24">
        <w:rPr>
          <w:rFonts w:asciiTheme="minorHAnsi" w:hAnsiTheme="minorHAnsi" w:cs="HelveticaNeueLTStd-Lt"/>
          <w:color w:val="000000"/>
          <w:szCs w:val="24"/>
          <w:lang w:val="en-GB"/>
        </w:rPr>
        <w:t xml:space="preserve"> We see further growth and opportunity in</w:t>
      </w:r>
      <w:r>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the years ahead.</w:t>
      </w:r>
    </w:p>
    <w:p w:rsidR="00C8110A" w:rsidRPr="002B3F24" w:rsidRDefault="00C8110A" w:rsidP="00C8110A">
      <w:pPr>
        <w:autoSpaceDE w:val="0"/>
        <w:autoSpaceDN w:val="0"/>
        <w:adjustRightInd w:val="0"/>
        <w:jc w:val="both"/>
        <w:rPr>
          <w:rFonts w:asciiTheme="minorHAnsi" w:hAnsiTheme="minorHAnsi" w:cs="HelveticaNeueLTStd-Lt"/>
          <w:color w:val="000000"/>
          <w:szCs w:val="24"/>
          <w:lang w:val="en-GB"/>
        </w:rPr>
      </w:pPr>
    </w:p>
    <w:p w:rsidR="002B3F24" w:rsidRPr="002B3F24" w:rsidRDefault="002B3F24" w:rsidP="00E43AD8">
      <w:pPr>
        <w:autoSpaceDE w:val="0"/>
        <w:autoSpaceDN w:val="0"/>
        <w:adjustRightInd w:val="0"/>
        <w:jc w:val="both"/>
        <w:rPr>
          <w:rFonts w:asciiTheme="minorHAnsi" w:hAnsiTheme="minorHAnsi" w:cs="HelveticaNeueLTStd-Bd"/>
          <w:b/>
          <w:color w:val="000000"/>
          <w:szCs w:val="24"/>
          <w:lang w:val="en-GB"/>
        </w:rPr>
      </w:pPr>
      <w:r w:rsidRPr="002B3F24">
        <w:rPr>
          <w:rFonts w:asciiTheme="minorHAnsi" w:hAnsiTheme="minorHAnsi" w:cs="HelveticaNeueLTStd-Bd"/>
          <w:b/>
          <w:color w:val="000000"/>
          <w:szCs w:val="24"/>
          <w:lang w:val="en-GB"/>
        </w:rPr>
        <w:t>Results</w:t>
      </w:r>
    </w:p>
    <w:p w:rsidR="002B3F24" w:rsidRDefault="00A617CC" w:rsidP="00C8110A">
      <w:pPr>
        <w:autoSpaceDE w:val="0"/>
        <w:autoSpaceDN w:val="0"/>
        <w:adjustRightInd w:val="0"/>
        <w:jc w:val="both"/>
        <w:rPr>
          <w:rFonts w:asciiTheme="minorHAnsi" w:hAnsiTheme="minorHAnsi" w:cs="HelveticaNeueLTStd-Lt"/>
          <w:color w:val="000000"/>
          <w:szCs w:val="24"/>
          <w:lang w:val="en-GB"/>
        </w:rPr>
      </w:pPr>
      <w:r>
        <w:rPr>
          <w:rFonts w:asciiTheme="minorHAnsi" w:hAnsiTheme="minorHAnsi" w:cs="HelveticaNeueLTStd-Lt"/>
          <w:color w:val="000000"/>
          <w:szCs w:val="24"/>
          <w:lang w:val="en-GB"/>
        </w:rPr>
        <w:t>I am pleased to</w:t>
      </w:r>
      <w:r w:rsidR="002B3F24" w:rsidRPr="002B3F24">
        <w:rPr>
          <w:rFonts w:asciiTheme="minorHAnsi" w:hAnsiTheme="minorHAnsi" w:cs="HelveticaNeueLTStd-Lt"/>
          <w:color w:val="000000"/>
          <w:szCs w:val="24"/>
          <w:lang w:val="en-GB"/>
        </w:rPr>
        <w:t xml:space="preserve"> report a robust performance despite the </w:t>
      </w:r>
      <w:r w:rsidR="007B273C">
        <w:rPr>
          <w:rFonts w:asciiTheme="minorHAnsi" w:hAnsiTheme="minorHAnsi" w:cs="HelveticaNeueLTStd-Lt"/>
          <w:color w:val="000000"/>
          <w:szCs w:val="24"/>
          <w:lang w:val="en-GB"/>
        </w:rPr>
        <w:t>difficult</w:t>
      </w:r>
      <w:r w:rsidR="008E2AD1">
        <w:rPr>
          <w:rFonts w:asciiTheme="minorHAnsi" w:hAnsiTheme="minorHAnsi" w:cs="HelveticaNeueLTStd-Lt"/>
          <w:color w:val="000000"/>
          <w:szCs w:val="24"/>
          <w:lang w:val="en-GB"/>
        </w:rPr>
        <w:t xml:space="preserve"> </w:t>
      </w:r>
      <w:r w:rsidR="002B3F24" w:rsidRPr="002B3F24">
        <w:rPr>
          <w:rFonts w:asciiTheme="minorHAnsi" w:hAnsiTheme="minorHAnsi" w:cs="HelveticaNeueLTStd-Lt"/>
          <w:color w:val="000000"/>
          <w:szCs w:val="24"/>
          <w:lang w:val="en-GB"/>
        </w:rPr>
        <w:t xml:space="preserve">shipping markets. </w:t>
      </w:r>
      <w:r w:rsidR="002B3F24">
        <w:rPr>
          <w:rFonts w:asciiTheme="minorHAnsi" w:hAnsiTheme="minorHAnsi" w:cs="HelveticaNeueLTStd-Lt"/>
          <w:color w:val="000000"/>
          <w:szCs w:val="24"/>
          <w:lang w:val="en-GB"/>
        </w:rPr>
        <w:t>G</w:t>
      </w:r>
      <w:r w:rsidR="002B3F24" w:rsidRPr="002B3F24">
        <w:rPr>
          <w:rFonts w:asciiTheme="minorHAnsi" w:hAnsiTheme="minorHAnsi" w:cs="HelveticaNeueLTStd-Lt"/>
          <w:color w:val="000000"/>
          <w:szCs w:val="24"/>
          <w:lang w:val="en-GB"/>
        </w:rPr>
        <w:t>roup revenues grew by 7.7%</w:t>
      </w:r>
      <w:r w:rsidR="002B3F24">
        <w:rPr>
          <w:rFonts w:asciiTheme="minorHAnsi" w:hAnsiTheme="minorHAnsi" w:cs="HelveticaNeueLTStd-Lt"/>
          <w:color w:val="000000"/>
          <w:szCs w:val="24"/>
          <w:lang w:val="en-GB"/>
        </w:rPr>
        <w:t xml:space="preserve"> </w:t>
      </w:r>
      <w:r w:rsidR="002B3F24" w:rsidRPr="002B3F24">
        <w:rPr>
          <w:rFonts w:asciiTheme="minorHAnsi" w:hAnsiTheme="minorHAnsi" w:cs="HelveticaNeueLTStd-Lt"/>
          <w:color w:val="000000"/>
          <w:szCs w:val="24"/>
          <w:lang w:val="en-GB"/>
        </w:rPr>
        <w:t>to £143.</w:t>
      </w:r>
      <w:r w:rsidR="002B3F24">
        <w:rPr>
          <w:rFonts w:asciiTheme="minorHAnsi" w:hAnsiTheme="minorHAnsi" w:cs="HelveticaNeueLTStd-Lt"/>
          <w:color w:val="000000"/>
          <w:szCs w:val="24"/>
          <w:lang w:val="en-GB"/>
        </w:rPr>
        <w:t>8</w:t>
      </w:r>
      <w:r w:rsidR="002B3F24" w:rsidRPr="002B3F24">
        <w:rPr>
          <w:rFonts w:asciiTheme="minorHAnsi" w:hAnsiTheme="minorHAnsi" w:cs="HelveticaNeueLTStd-Lt"/>
          <w:color w:val="000000"/>
          <w:szCs w:val="24"/>
          <w:lang w:val="en-GB"/>
        </w:rPr>
        <w:t xml:space="preserve"> million</w:t>
      </w:r>
      <w:r w:rsidR="008C2449">
        <w:rPr>
          <w:rFonts w:asciiTheme="minorHAnsi" w:hAnsiTheme="minorHAnsi" w:cs="HelveticaNeueLTStd-Lt"/>
          <w:color w:val="000000"/>
          <w:szCs w:val="24"/>
          <w:lang w:val="en-GB"/>
        </w:rPr>
        <w:t xml:space="preserve"> (2012: £133.5 million)</w:t>
      </w:r>
      <w:r w:rsidR="002B3F24" w:rsidRPr="002B3F24">
        <w:rPr>
          <w:rFonts w:asciiTheme="minorHAnsi" w:hAnsiTheme="minorHAnsi" w:cs="HelveticaNeueLTStd-Lt"/>
          <w:color w:val="000000"/>
          <w:szCs w:val="24"/>
          <w:lang w:val="en-GB"/>
        </w:rPr>
        <w:t>; pre-tax profits were £9.3 million compared</w:t>
      </w:r>
      <w:r w:rsidR="00F41101">
        <w:rPr>
          <w:rFonts w:asciiTheme="minorHAnsi" w:hAnsiTheme="minorHAnsi" w:cs="HelveticaNeueLTStd-Lt"/>
          <w:color w:val="000000"/>
          <w:szCs w:val="24"/>
          <w:lang w:val="en-GB"/>
        </w:rPr>
        <w:t xml:space="preserve"> </w:t>
      </w:r>
      <w:r w:rsidR="002B3F24" w:rsidRPr="002B3F24">
        <w:rPr>
          <w:rFonts w:asciiTheme="minorHAnsi" w:hAnsiTheme="minorHAnsi" w:cs="HelveticaNeueLTStd-Lt"/>
          <w:color w:val="000000"/>
          <w:szCs w:val="24"/>
          <w:lang w:val="en-GB"/>
        </w:rPr>
        <w:t>with £9.8 million in 2011/12 and basic earnings per share</w:t>
      </w:r>
      <w:r w:rsidR="00231D43">
        <w:rPr>
          <w:rFonts w:asciiTheme="minorHAnsi" w:hAnsiTheme="minorHAnsi" w:cs="HelveticaNeueLTStd-Lt"/>
          <w:color w:val="000000"/>
          <w:szCs w:val="24"/>
          <w:lang w:val="en-GB"/>
        </w:rPr>
        <w:t xml:space="preserve"> (EPS)</w:t>
      </w:r>
      <w:r w:rsidR="002B3F24" w:rsidRPr="002B3F24">
        <w:rPr>
          <w:rFonts w:asciiTheme="minorHAnsi" w:hAnsiTheme="minorHAnsi" w:cs="HelveticaNeueLTStd-Lt"/>
          <w:color w:val="000000"/>
          <w:szCs w:val="24"/>
          <w:lang w:val="en-GB"/>
        </w:rPr>
        <w:t xml:space="preserve"> were</w:t>
      </w:r>
      <w:r w:rsidR="002B3F24">
        <w:rPr>
          <w:rFonts w:asciiTheme="minorHAnsi" w:hAnsiTheme="minorHAnsi" w:cs="HelveticaNeueLTStd-Lt"/>
          <w:color w:val="000000"/>
          <w:szCs w:val="24"/>
          <w:lang w:val="en-GB"/>
        </w:rPr>
        <w:t xml:space="preserve"> </w:t>
      </w:r>
      <w:r w:rsidR="002B3F24" w:rsidRPr="002B3F24">
        <w:rPr>
          <w:rFonts w:asciiTheme="minorHAnsi" w:hAnsiTheme="minorHAnsi" w:cs="HelveticaNeueLTStd-Lt"/>
          <w:color w:val="000000"/>
          <w:szCs w:val="24"/>
          <w:lang w:val="en-GB"/>
        </w:rPr>
        <w:t xml:space="preserve">32.8 pence </w:t>
      </w:r>
      <w:r w:rsidR="008C2449">
        <w:rPr>
          <w:rFonts w:asciiTheme="minorHAnsi" w:hAnsiTheme="minorHAnsi" w:cs="HelveticaNeueLTStd-Lt"/>
          <w:color w:val="000000"/>
          <w:szCs w:val="24"/>
          <w:lang w:val="en-GB"/>
        </w:rPr>
        <w:t>(2012: 33.8 pence), down 3% on the prior</w:t>
      </w:r>
      <w:r w:rsidR="002B3F24" w:rsidRPr="002B3F24">
        <w:rPr>
          <w:rFonts w:asciiTheme="minorHAnsi" w:hAnsiTheme="minorHAnsi" w:cs="HelveticaNeueLTStd-Lt"/>
          <w:color w:val="000000"/>
          <w:szCs w:val="24"/>
          <w:lang w:val="en-GB"/>
        </w:rPr>
        <w:t xml:space="preserve"> year. The decline in</w:t>
      </w:r>
      <w:r w:rsidR="002B3F24">
        <w:rPr>
          <w:rFonts w:asciiTheme="minorHAnsi" w:hAnsiTheme="minorHAnsi" w:cs="HelveticaNeueLTStd-Lt"/>
          <w:color w:val="000000"/>
          <w:szCs w:val="24"/>
          <w:lang w:val="en-GB"/>
        </w:rPr>
        <w:t xml:space="preserve"> </w:t>
      </w:r>
      <w:proofErr w:type="spellStart"/>
      <w:r w:rsidR="002B3F24" w:rsidRPr="002B3F24">
        <w:rPr>
          <w:rFonts w:asciiTheme="minorHAnsi" w:hAnsiTheme="minorHAnsi" w:cs="HelveticaNeueLTStd-Lt"/>
          <w:color w:val="000000"/>
          <w:szCs w:val="24"/>
          <w:lang w:val="en-GB"/>
        </w:rPr>
        <w:t>shipbroking</w:t>
      </w:r>
      <w:proofErr w:type="spellEnd"/>
      <w:r w:rsidR="002B3F24" w:rsidRPr="002B3F24">
        <w:rPr>
          <w:rFonts w:asciiTheme="minorHAnsi" w:hAnsiTheme="minorHAnsi" w:cs="HelveticaNeueLTStd-Lt"/>
          <w:color w:val="000000"/>
          <w:szCs w:val="24"/>
          <w:lang w:val="en-GB"/>
        </w:rPr>
        <w:t xml:space="preserve"> profitability has been offset by the growth in other</w:t>
      </w:r>
      <w:r w:rsidR="008C2449">
        <w:rPr>
          <w:rFonts w:asciiTheme="minorHAnsi" w:hAnsiTheme="minorHAnsi" w:cs="HelveticaNeueLTStd-Lt"/>
          <w:color w:val="000000"/>
          <w:szCs w:val="24"/>
          <w:lang w:val="en-GB"/>
        </w:rPr>
        <w:t xml:space="preserve"> </w:t>
      </w:r>
      <w:r w:rsidR="002B3F24" w:rsidRPr="002B3F24">
        <w:rPr>
          <w:rFonts w:asciiTheme="minorHAnsi" w:hAnsiTheme="minorHAnsi" w:cs="HelveticaNeueLTStd-Lt"/>
          <w:color w:val="000000"/>
          <w:szCs w:val="24"/>
          <w:lang w:val="en-GB"/>
        </w:rPr>
        <w:t>shipping services.</w:t>
      </w:r>
      <w:r w:rsidR="008C2449">
        <w:rPr>
          <w:rFonts w:asciiTheme="minorHAnsi" w:hAnsiTheme="minorHAnsi" w:cs="HelveticaNeueLTStd-Lt"/>
          <w:color w:val="000000"/>
          <w:szCs w:val="24"/>
          <w:lang w:val="en-GB"/>
        </w:rPr>
        <w:t xml:space="preserve"> The strong balance sheet, with a cash position of £23.3 million (2012: £17.5 million), puts the Group in a good position to deliver on its strategic objectives.</w:t>
      </w:r>
    </w:p>
    <w:p w:rsidR="00C8110A" w:rsidRDefault="00C8110A" w:rsidP="00C8110A">
      <w:pPr>
        <w:autoSpaceDE w:val="0"/>
        <w:autoSpaceDN w:val="0"/>
        <w:adjustRightInd w:val="0"/>
        <w:jc w:val="both"/>
        <w:rPr>
          <w:rFonts w:asciiTheme="minorHAnsi" w:hAnsiTheme="minorHAnsi" w:cs="HelveticaNeueLTStd-Lt"/>
          <w:color w:val="000000"/>
          <w:szCs w:val="24"/>
          <w:lang w:val="en-GB"/>
        </w:rPr>
      </w:pPr>
    </w:p>
    <w:p w:rsidR="002B3F24" w:rsidRPr="002B3F24" w:rsidRDefault="002B3F24" w:rsidP="00E43AD8">
      <w:pPr>
        <w:autoSpaceDE w:val="0"/>
        <w:autoSpaceDN w:val="0"/>
        <w:adjustRightInd w:val="0"/>
        <w:jc w:val="both"/>
        <w:rPr>
          <w:rFonts w:asciiTheme="minorHAnsi" w:hAnsiTheme="minorHAnsi" w:cs="HelveticaNeueLTStd-Bd"/>
          <w:b/>
          <w:color w:val="000000"/>
          <w:szCs w:val="24"/>
          <w:lang w:val="en-GB"/>
        </w:rPr>
      </w:pPr>
      <w:r w:rsidRPr="002B3F24">
        <w:rPr>
          <w:rFonts w:asciiTheme="minorHAnsi" w:hAnsiTheme="minorHAnsi" w:cs="HelveticaNeueLTStd-Bd"/>
          <w:b/>
          <w:color w:val="000000"/>
          <w:szCs w:val="24"/>
          <w:lang w:val="en-GB"/>
        </w:rPr>
        <w:t xml:space="preserve">Board </w:t>
      </w:r>
      <w:r w:rsidR="007B273C">
        <w:rPr>
          <w:rFonts w:asciiTheme="minorHAnsi" w:hAnsiTheme="minorHAnsi" w:cs="HelveticaNeueLTStd-Bd"/>
          <w:b/>
          <w:color w:val="000000"/>
          <w:szCs w:val="24"/>
          <w:lang w:val="en-GB"/>
        </w:rPr>
        <w:t>and management</w:t>
      </w:r>
    </w:p>
    <w:p w:rsidR="007B273C" w:rsidRPr="007B273C" w:rsidRDefault="007B273C" w:rsidP="007B273C">
      <w:pPr>
        <w:pStyle w:val="NoSpacing"/>
        <w:spacing w:after="120"/>
        <w:rPr>
          <w:rFonts w:asciiTheme="minorHAnsi" w:hAnsiTheme="minorHAnsi" w:cs="Calibri"/>
          <w:sz w:val="24"/>
          <w:szCs w:val="24"/>
        </w:rPr>
      </w:pPr>
      <w:r w:rsidRPr="007B273C">
        <w:rPr>
          <w:rFonts w:asciiTheme="minorHAnsi" w:hAnsiTheme="minorHAnsi" w:cs="Calibri"/>
          <w:sz w:val="24"/>
          <w:szCs w:val="24"/>
        </w:rPr>
        <w:t>2012 was a year marked by significant changes in the Board and management team at Braemar.</w:t>
      </w:r>
    </w:p>
    <w:p w:rsidR="007B273C" w:rsidRPr="007B273C" w:rsidRDefault="007B273C" w:rsidP="007B273C">
      <w:pPr>
        <w:pStyle w:val="NoSpacing"/>
        <w:spacing w:after="120"/>
        <w:rPr>
          <w:rFonts w:asciiTheme="minorHAnsi" w:hAnsiTheme="minorHAnsi" w:cs="Calibri"/>
          <w:sz w:val="24"/>
          <w:szCs w:val="24"/>
        </w:rPr>
      </w:pPr>
      <w:r w:rsidRPr="007B273C">
        <w:rPr>
          <w:rFonts w:asciiTheme="minorHAnsi" w:hAnsiTheme="minorHAnsi" w:cs="Calibri"/>
          <w:sz w:val="24"/>
          <w:szCs w:val="24"/>
        </w:rPr>
        <w:t>Alan Marsh and Quentin Soanes retired from the Board after many years of outstanding service.  They were both founder members of Braemar and have been the architects of its success over the past 10 years, Alan as Chief Executive and Quentin as the inspiration behind the development of our shipping services businesses.  I am pleased to say that although no longer members of the Board, they remain actively involved with the Group.  On behalf of the Board I would like to pay tribute to them for their outstanding contributions over many years.</w:t>
      </w:r>
    </w:p>
    <w:p w:rsidR="007B273C" w:rsidRPr="007B273C" w:rsidRDefault="007B273C" w:rsidP="00C8110A">
      <w:pPr>
        <w:autoSpaceDE w:val="0"/>
        <w:autoSpaceDN w:val="0"/>
        <w:adjustRightInd w:val="0"/>
        <w:jc w:val="both"/>
        <w:rPr>
          <w:rFonts w:asciiTheme="minorHAnsi" w:hAnsiTheme="minorHAnsi" w:cs="HelveticaNeueLTStd-Lt"/>
          <w:color w:val="000000"/>
          <w:szCs w:val="24"/>
          <w:lang w:val="en-GB"/>
        </w:rPr>
      </w:pPr>
      <w:r w:rsidRPr="007B273C">
        <w:rPr>
          <w:rFonts w:asciiTheme="minorHAnsi" w:hAnsiTheme="minorHAnsi" w:cs="Calibri"/>
          <w:szCs w:val="24"/>
        </w:rPr>
        <w:t xml:space="preserve">James Kidwell, who has been Finance Director for the past ten years, was appointed as Chief Executive to succeed Alan Marsh in June 2012.  </w:t>
      </w:r>
      <w:r w:rsidR="008E2AD1">
        <w:rPr>
          <w:rFonts w:asciiTheme="minorHAnsi" w:hAnsiTheme="minorHAnsi" w:cs="Calibri"/>
          <w:szCs w:val="24"/>
        </w:rPr>
        <w:t>The Board is</w:t>
      </w:r>
      <w:r w:rsidRPr="007B273C">
        <w:rPr>
          <w:rFonts w:asciiTheme="minorHAnsi" w:hAnsiTheme="minorHAnsi" w:cs="Calibri"/>
          <w:szCs w:val="24"/>
        </w:rPr>
        <w:t xml:space="preserve"> confident he will provide the Group with the leadership it needs in these challenging times.  He will be assisted by Martin Beer who joined the Group as Finance Director in October 2012, after ten years as finance director of </w:t>
      </w:r>
      <w:proofErr w:type="spellStart"/>
      <w:r w:rsidRPr="007B273C">
        <w:rPr>
          <w:rFonts w:asciiTheme="minorHAnsi" w:hAnsiTheme="minorHAnsi" w:cs="Calibri"/>
          <w:szCs w:val="24"/>
        </w:rPr>
        <w:t>Uniq</w:t>
      </w:r>
      <w:proofErr w:type="spellEnd"/>
      <w:r w:rsidRPr="007B273C">
        <w:rPr>
          <w:rFonts w:asciiTheme="minorHAnsi" w:hAnsiTheme="minorHAnsi" w:cs="Calibri"/>
          <w:szCs w:val="24"/>
        </w:rPr>
        <w:t xml:space="preserve"> Plc.  Denis Petropoulos who has played a significant role in our </w:t>
      </w:r>
      <w:proofErr w:type="spellStart"/>
      <w:r w:rsidR="008E2AD1">
        <w:rPr>
          <w:rFonts w:asciiTheme="minorHAnsi" w:hAnsiTheme="minorHAnsi" w:cs="Calibri"/>
          <w:szCs w:val="24"/>
        </w:rPr>
        <w:t>S</w:t>
      </w:r>
      <w:r w:rsidRPr="007B273C">
        <w:rPr>
          <w:rFonts w:asciiTheme="minorHAnsi" w:hAnsiTheme="minorHAnsi" w:cs="Calibri"/>
          <w:szCs w:val="24"/>
        </w:rPr>
        <w:t>hipbroking</w:t>
      </w:r>
      <w:proofErr w:type="spellEnd"/>
      <w:r w:rsidRPr="007B273C">
        <w:rPr>
          <w:rFonts w:asciiTheme="minorHAnsi" w:hAnsiTheme="minorHAnsi" w:cs="Calibri"/>
          <w:szCs w:val="24"/>
        </w:rPr>
        <w:t xml:space="preserve"> business for many years continues as an Executive Director, primarily responsible for the development of our growing businesses in Singapore, China and South East Asia.  Sebastian Davenport-Thomas has assumed overall responsibility for all our </w:t>
      </w:r>
      <w:proofErr w:type="spellStart"/>
      <w:r w:rsidR="008E2AD1">
        <w:rPr>
          <w:rFonts w:asciiTheme="minorHAnsi" w:hAnsiTheme="minorHAnsi" w:cs="Calibri"/>
          <w:szCs w:val="24"/>
        </w:rPr>
        <w:t>S</w:t>
      </w:r>
      <w:r w:rsidRPr="007B273C">
        <w:rPr>
          <w:rFonts w:asciiTheme="minorHAnsi" w:hAnsiTheme="minorHAnsi" w:cs="Calibri"/>
          <w:szCs w:val="24"/>
        </w:rPr>
        <w:t>hipbroking</w:t>
      </w:r>
      <w:proofErr w:type="spellEnd"/>
      <w:r w:rsidRPr="007B273C">
        <w:rPr>
          <w:rFonts w:asciiTheme="minorHAnsi" w:hAnsiTheme="minorHAnsi" w:cs="Calibri"/>
          <w:szCs w:val="24"/>
        </w:rPr>
        <w:t xml:space="preserve"> companies and Quentin Soanes continues, as a consultant, to play an active role in our shipping services businesses. The Board believes this team is well placed to deliver shareholder value in the years ahead.</w:t>
      </w:r>
    </w:p>
    <w:p w:rsidR="002B3F24" w:rsidRDefault="002B3F24" w:rsidP="00973651">
      <w:pPr>
        <w:autoSpaceDE w:val="0"/>
        <w:autoSpaceDN w:val="0"/>
        <w:adjustRightInd w:val="0"/>
        <w:jc w:val="both"/>
        <w:rPr>
          <w:rFonts w:asciiTheme="minorHAnsi" w:hAnsiTheme="minorHAnsi" w:cs="HelveticaNeueLTStd-Lt"/>
          <w:color w:val="000000"/>
          <w:szCs w:val="24"/>
          <w:lang w:val="en-GB"/>
        </w:rPr>
      </w:pPr>
    </w:p>
    <w:p w:rsidR="002B3F24" w:rsidRPr="002B3F24" w:rsidRDefault="002B3F24" w:rsidP="00E43AD8">
      <w:pPr>
        <w:autoSpaceDE w:val="0"/>
        <w:autoSpaceDN w:val="0"/>
        <w:adjustRightInd w:val="0"/>
        <w:jc w:val="both"/>
        <w:rPr>
          <w:rFonts w:asciiTheme="minorHAnsi" w:hAnsiTheme="minorHAnsi" w:cs="HelveticaNeueLTStd-Bd"/>
          <w:b/>
          <w:color w:val="000000"/>
          <w:szCs w:val="24"/>
          <w:lang w:val="en-GB"/>
        </w:rPr>
      </w:pPr>
      <w:r w:rsidRPr="002B3F24">
        <w:rPr>
          <w:rFonts w:asciiTheme="minorHAnsi" w:hAnsiTheme="minorHAnsi" w:cs="HelveticaNeueLTStd-Bd"/>
          <w:b/>
          <w:color w:val="000000"/>
          <w:szCs w:val="24"/>
          <w:lang w:val="en-GB"/>
        </w:rPr>
        <w:t>Dividend</w:t>
      </w:r>
    </w:p>
    <w:p w:rsidR="002B3F24" w:rsidRDefault="002B3F24" w:rsidP="00C8110A">
      <w:pPr>
        <w:autoSpaceDE w:val="0"/>
        <w:autoSpaceDN w:val="0"/>
        <w:adjustRightInd w:val="0"/>
        <w:jc w:val="both"/>
        <w:rPr>
          <w:rFonts w:asciiTheme="minorHAnsi" w:hAnsiTheme="minorHAnsi" w:cs="HelveticaNeueLTStd-Lt"/>
          <w:color w:val="000000"/>
          <w:szCs w:val="24"/>
          <w:lang w:val="en-GB"/>
        </w:rPr>
      </w:pPr>
      <w:r w:rsidRPr="002B3F24">
        <w:rPr>
          <w:rFonts w:asciiTheme="minorHAnsi" w:hAnsiTheme="minorHAnsi" w:cs="HelveticaNeueLTStd-Lt"/>
          <w:color w:val="000000"/>
          <w:szCs w:val="24"/>
          <w:lang w:val="en-GB"/>
        </w:rPr>
        <w:t xml:space="preserve">The </w:t>
      </w:r>
      <w:r w:rsidR="00231D43">
        <w:rPr>
          <w:rFonts w:asciiTheme="minorHAnsi" w:hAnsiTheme="minorHAnsi" w:cs="HelveticaNeueLTStd-Lt"/>
          <w:color w:val="000000"/>
          <w:szCs w:val="24"/>
          <w:lang w:val="en-GB"/>
        </w:rPr>
        <w:t>d</w:t>
      </w:r>
      <w:r w:rsidRPr="002B3F24">
        <w:rPr>
          <w:rFonts w:asciiTheme="minorHAnsi" w:hAnsiTheme="minorHAnsi" w:cs="HelveticaNeueLTStd-Lt"/>
          <w:color w:val="000000"/>
          <w:szCs w:val="24"/>
          <w:lang w:val="en-GB"/>
        </w:rPr>
        <w:t>irectors are recommending for approval, at the Annual</w:t>
      </w:r>
      <w:r>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General Meeting on 19 June 2013, an unchanged final</w:t>
      </w:r>
      <w:r>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dividend of 17 pence per ordinary share, to be paid on</w:t>
      </w:r>
      <w:r>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 xml:space="preserve">24 July 2013 to </w:t>
      </w:r>
      <w:r>
        <w:rPr>
          <w:rFonts w:asciiTheme="minorHAnsi" w:hAnsiTheme="minorHAnsi" w:cs="HelveticaNeueLTStd-Lt"/>
          <w:color w:val="000000"/>
          <w:szCs w:val="24"/>
          <w:lang w:val="en-GB"/>
        </w:rPr>
        <w:t>s</w:t>
      </w:r>
      <w:r w:rsidRPr="002B3F24">
        <w:rPr>
          <w:rFonts w:asciiTheme="minorHAnsi" w:hAnsiTheme="minorHAnsi" w:cs="HelveticaNeueLTStd-Lt"/>
          <w:color w:val="000000"/>
          <w:szCs w:val="24"/>
          <w:lang w:val="en-GB"/>
        </w:rPr>
        <w:t>hareholders on the register at the close</w:t>
      </w:r>
      <w:r>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of business on 2</w:t>
      </w:r>
      <w:r w:rsidR="0035670F">
        <w:rPr>
          <w:rFonts w:asciiTheme="minorHAnsi" w:hAnsiTheme="minorHAnsi" w:cs="HelveticaNeueLTStd-Lt"/>
          <w:color w:val="000000"/>
          <w:szCs w:val="24"/>
          <w:lang w:val="en-GB"/>
        </w:rPr>
        <w:t>8</w:t>
      </w:r>
      <w:r w:rsidRPr="002B3F24">
        <w:rPr>
          <w:rFonts w:asciiTheme="minorHAnsi" w:hAnsiTheme="minorHAnsi" w:cs="HelveticaNeueLTStd-Lt"/>
          <w:color w:val="000000"/>
          <w:szCs w:val="24"/>
          <w:lang w:val="en-GB"/>
        </w:rPr>
        <w:t xml:space="preserve"> June 2013. Together with the 9 pence</w:t>
      </w:r>
      <w:r w:rsidR="00F41101">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interim dividend, the Company’s dividend for the year will</w:t>
      </w:r>
      <w:r>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 xml:space="preserve">be 26 pence (2012: 26 pence). The dividend is covered </w:t>
      </w:r>
      <w:r>
        <w:rPr>
          <w:rFonts w:asciiTheme="minorHAnsi" w:hAnsiTheme="minorHAnsi" w:cs="HelveticaNeueLTStd-Lt"/>
          <w:color w:val="000000"/>
          <w:szCs w:val="24"/>
          <w:lang w:val="en-GB"/>
        </w:rPr>
        <w:t xml:space="preserve">1.5 </w:t>
      </w:r>
      <w:r w:rsidRPr="002B3F24">
        <w:rPr>
          <w:rFonts w:asciiTheme="minorHAnsi" w:hAnsiTheme="minorHAnsi" w:cs="HelveticaNeueLTStd-Lt"/>
          <w:color w:val="000000"/>
          <w:szCs w:val="24"/>
          <w:lang w:val="en-GB"/>
        </w:rPr>
        <w:t>times by earnings before amortisation of acquisition related</w:t>
      </w:r>
      <w:r w:rsidR="008C2449">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intangibles.</w:t>
      </w:r>
    </w:p>
    <w:p w:rsidR="002B3F24" w:rsidRPr="002B3F24" w:rsidRDefault="008C2449" w:rsidP="00E43AD8">
      <w:pPr>
        <w:autoSpaceDE w:val="0"/>
        <w:autoSpaceDN w:val="0"/>
        <w:adjustRightInd w:val="0"/>
        <w:jc w:val="both"/>
        <w:rPr>
          <w:rFonts w:asciiTheme="minorHAnsi" w:hAnsiTheme="minorHAnsi" w:cs="HelveticaNeueLTStd-Bd"/>
          <w:b/>
          <w:color w:val="000000"/>
          <w:szCs w:val="24"/>
          <w:lang w:val="en-GB"/>
        </w:rPr>
      </w:pPr>
      <w:r>
        <w:rPr>
          <w:rFonts w:asciiTheme="minorHAnsi" w:hAnsiTheme="minorHAnsi" w:cs="HelveticaNeueLTStd-Bd"/>
          <w:b/>
          <w:color w:val="000000"/>
          <w:szCs w:val="24"/>
          <w:lang w:val="en-GB"/>
        </w:rPr>
        <w:lastRenderedPageBreak/>
        <w:t>C</w:t>
      </w:r>
      <w:r w:rsidR="002B3F24" w:rsidRPr="002B3F24">
        <w:rPr>
          <w:rFonts w:asciiTheme="minorHAnsi" w:hAnsiTheme="minorHAnsi" w:cs="HelveticaNeueLTStd-Bd"/>
          <w:b/>
          <w:color w:val="000000"/>
          <w:szCs w:val="24"/>
          <w:lang w:val="en-GB"/>
        </w:rPr>
        <w:t>olleagues</w:t>
      </w:r>
    </w:p>
    <w:p w:rsidR="002B3F24" w:rsidRDefault="002B3F24" w:rsidP="00E43AD8">
      <w:pPr>
        <w:autoSpaceDE w:val="0"/>
        <w:autoSpaceDN w:val="0"/>
        <w:adjustRightInd w:val="0"/>
        <w:jc w:val="both"/>
        <w:rPr>
          <w:rFonts w:asciiTheme="minorHAnsi" w:hAnsiTheme="minorHAnsi" w:cs="HelveticaNeueLTStd-Lt"/>
          <w:color w:val="000000"/>
          <w:szCs w:val="24"/>
          <w:lang w:val="en-GB"/>
        </w:rPr>
      </w:pPr>
      <w:r w:rsidRPr="002B3F24">
        <w:rPr>
          <w:rFonts w:asciiTheme="minorHAnsi" w:hAnsiTheme="minorHAnsi" w:cs="HelveticaNeueLTStd-Lt"/>
          <w:color w:val="000000"/>
          <w:szCs w:val="24"/>
          <w:lang w:val="en-GB"/>
        </w:rPr>
        <w:t xml:space="preserve">On behalf of the </w:t>
      </w:r>
      <w:r w:rsidR="00AE5CE7">
        <w:rPr>
          <w:rFonts w:asciiTheme="minorHAnsi" w:hAnsiTheme="minorHAnsi" w:cs="HelveticaNeueLTStd-Lt"/>
          <w:color w:val="000000"/>
          <w:szCs w:val="24"/>
          <w:lang w:val="en-GB"/>
        </w:rPr>
        <w:t>B</w:t>
      </w:r>
      <w:r w:rsidRPr="002B3F24">
        <w:rPr>
          <w:rFonts w:asciiTheme="minorHAnsi" w:hAnsiTheme="minorHAnsi" w:cs="HelveticaNeueLTStd-Lt"/>
          <w:color w:val="000000"/>
          <w:szCs w:val="24"/>
          <w:lang w:val="en-GB"/>
        </w:rPr>
        <w:t>oard I would like to pass on my thanks to all</w:t>
      </w:r>
      <w:r>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 xml:space="preserve">those </w:t>
      </w:r>
      <w:r w:rsidR="00231D43">
        <w:rPr>
          <w:rFonts w:asciiTheme="minorHAnsi" w:hAnsiTheme="minorHAnsi" w:cs="HelveticaNeueLTStd-Lt"/>
          <w:color w:val="000000"/>
          <w:szCs w:val="24"/>
          <w:lang w:val="en-GB"/>
        </w:rPr>
        <w:t xml:space="preserve">who </w:t>
      </w:r>
      <w:r w:rsidRPr="002B3F24">
        <w:rPr>
          <w:rFonts w:asciiTheme="minorHAnsi" w:hAnsiTheme="minorHAnsi" w:cs="HelveticaNeueLTStd-Lt"/>
          <w:color w:val="000000"/>
          <w:szCs w:val="24"/>
          <w:lang w:val="en-GB"/>
        </w:rPr>
        <w:t>have worked</w:t>
      </w:r>
      <w:r>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diligently</w:t>
      </w:r>
      <w:r w:rsidR="00A617CC">
        <w:rPr>
          <w:rFonts w:asciiTheme="minorHAnsi" w:hAnsiTheme="minorHAnsi" w:cs="HelveticaNeueLTStd-Lt"/>
          <w:color w:val="000000"/>
          <w:szCs w:val="24"/>
          <w:lang w:val="en-GB"/>
        </w:rPr>
        <w:t xml:space="preserve"> for Braemar</w:t>
      </w:r>
      <w:r w:rsidRPr="002B3F24">
        <w:rPr>
          <w:rFonts w:asciiTheme="minorHAnsi" w:hAnsiTheme="minorHAnsi" w:cs="HelveticaNeueLTStd-Lt"/>
          <w:color w:val="000000"/>
          <w:szCs w:val="24"/>
          <w:lang w:val="en-GB"/>
        </w:rPr>
        <w:t xml:space="preserve"> to produce these results. It is the professionalism of</w:t>
      </w:r>
      <w:r w:rsidR="00F41101">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the Braemar team around the world that makes a difference</w:t>
      </w:r>
      <w:r>
        <w:rPr>
          <w:rFonts w:asciiTheme="minorHAnsi" w:hAnsiTheme="minorHAnsi" w:cs="HelveticaNeueLTStd-Lt"/>
          <w:color w:val="000000"/>
          <w:szCs w:val="24"/>
          <w:lang w:val="en-GB"/>
        </w:rPr>
        <w:t xml:space="preserve"> </w:t>
      </w:r>
      <w:r w:rsidRPr="002B3F24">
        <w:rPr>
          <w:rFonts w:asciiTheme="minorHAnsi" w:hAnsiTheme="minorHAnsi" w:cs="HelveticaNeueLTStd-Lt"/>
          <w:color w:val="000000"/>
          <w:szCs w:val="24"/>
          <w:lang w:val="en-GB"/>
        </w:rPr>
        <w:t>for our clients.</w:t>
      </w:r>
    </w:p>
    <w:p w:rsidR="002B3F24" w:rsidRDefault="002B3F24" w:rsidP="00E43AD8">
      <w:pPr>
        <w:autoSpaceDE w:val="0"/>
        <w:autoSpaceDN w:val="0"/>
        <w:adjustRightInd w:val="0"/>
        <w:jc w:val="both"/>
        <w:rPr>
          <w:rFonts w:asciiTheme="minorHAnsi" w:hAnsiTheme="minorHAnsi" w:cs="HelveticaNeueLTStd-Lt"/>
          <w:color w:val="000000"/>
          <w:szCs w:val="24"/>
          <w:lang w:val="en-GB"/>
        </w:rPr>
      </w:pPr>
    </w:p>
    <w:p w:rsidR="00C8110A" w:rsidRDefault="00C8110A" w:rsidP="00E43AD8">
      <w:pPr>
        <w:autoSpaceDE w:val="0"/>
        <w:autoSpaceDN w:val="0"/>
        <w:adjustRightInd w:val="0"/>
        <w:jc w:val="both"/>
        <w:rPr>
          <w:rFonts w:asciiTheme="minorHAnsi" w:hAnsiTheme="minorHAnsi" w:cs="HelveticaNeueLTStd-Lt"/>
          <w:color w:val="000000"/>
          <w:szCs w:val="24"/>
          <w:lang w:val="en-GB"/>
        </w:rPr>
      </w:pPr>
    </w:p>
    <w:p w:rsidR="002B3F24" w:rsidRPr="002B3F24" w:rsidRDefault="002B3F24" w:rsidP="00E43AD8">
      <w:pPr>
        <w:autoSpaceDE w:val="0"/>
        <w:autoSpaceDN w:val="0"/>
        <w:adjustRightInd w:val="0"/>
        <w:jc w:val="both"/>
        <w:rPr>
          <w:rFonts w:asciiTheme="minorHAnsi" w:hAnsiTheme="minorHAnsi" w:cs="HelveticaNeueLTStd-Hv"/>
          <w:b/>
          <w:color w:val="000000"/>
          <w:szCs w:val="24"/>
          <w:lang w:val="en-GB"/>
        </w:rPr>
      </w:pPr>
      <w:r w:rsidRPr="002B3F24">
        <w:rPr>
          <w:rFonts w:asciiTheme="minorHAnsi" w:hAnsiTheme="minorHAnsi" w:cs="HelveticaNeueLTStd-Hv"/>
          <w:b/>
          <w:color w:val="000000"/>
          <w:szCs w:val="24"/>
          <w:lang w:val="en-GB"/>
        </w:rPr>
        <w:t>Sir Graham Hearne CBE</w:t>
      </w:r>
    </w:p>
    <w:p w:rsidR="002B3F24" w:rsidRPr="002B3F24" w:rsidRDefault="002B3F24" w:rsidP="00E43AD8">
      <w:pPr>
        <w:autoSpaceDE w:val="0"/>
        <w:autoSpaceDN w:val="0"/>
        <w:adjustRightInd w:val="0"/>
        <w:jc w:val="both"/>
        <w:rPr>
          <w:rFonts w:asciiTheme="minorHAnsi" w:hAnsiTheme="minorHAnsi" w:cs="HelveticaNeueLTStd-Lt"/>
          <w:color w:val="000000"/>
          <w:szCs w:val="24"/>
          <w:lang w:val="en-GB"/>
        </w:rPr>
      </w:pPr>
      <w:r w:rsidRPr="002B3F24">
        <w:rPr>
          <w:rFonts w:asciiTheme="minorHAnsi" w:hAnsiTheme="minorHAnsi" w:cs="HelveticaNeueLTStd-Lt"/>
          <w:color w:val="000000"/>
          <w:szCs w:val="24"/>
          <w:lang w:val="en-GB"/>
        </w:rPr>
        <w:t>Chairman</w:t>
      </w:r>
    </w:p>
    <w:p w:rsidR="00132A04" w:rsidRDefault="00624DC5" w:rsidP="00E43AD8">
      <w:pPr>
        <w:pStyle w:val="BodyText"/>
        <w:jc w:val="both"/>
        <w:rPr>
          <w:rFonts w:asciiTheme="minorHAnsi" w:hAnsiTheme="minorHAnsi" w:cs="HelveticaNeueLTStd-Lt"/>
          <w:color w:val="000000"/>
          <w:szCs w:val="24"/>
          <w:lang w:val="en-GB"/>
        </w:rPr>
      </w:pPr>
      <w:r>
        <w:rPr>
          <w:rFonts w:asciiTheme="minorHAnsi" w:hAnsiTheme="minorHAnsi" w:cs="HelveticaNeueLTStd-Lt"/>
          <w:color w:val="000000"/>
          <w:szCs w:val="24"/>
          <w:lang w:val="en-GB"/>
        </w:rPr>
        <w:t>13</w:t>
      </w:r>
      <w:r w:rsidR="002B3F24" w:rsidRPr="002B3F24">
        <w:rPr>
          <w:rFonts w:asciiTheme="minorHAnsi" w:hAnsiTheme="minorHAnsi" w:cs="HelveticaNeueLTStd-Lt"/>
          <w:color w:val="000000"/>
          <w:szCs w:val="24"/>
          <w:lang w:val="en-GB"/>
        </w:rPr>
        <w:t xml:space="preserve"> May 2013</w:t>
      </w:r>
    </w:p>
    <w:p w:rsidR="000433F6" w:rsidRPr="00D440C9" w:rsidRDefault="000433F6" w:rsidP="00E43AD8">
      <w:pPr>
        <w:pStyle w:val="BodyText"/>
        <w:jc w:val="both"/>
        <w:rPr>
          <w:rFonts w:ascii="Calibri" w:hAnsi="Calibri" w:cs="Arial"/>
          <w:b/>
          <w:bCs/>
          <w:szCs w:val="24"/>
          <w:lang w:val="en-GB"/>
        </w:rPr>
      </w:pPr>
      <w:r w:rsidRPr="00D440C9">
        <w:rPr>
          <w:rFonts w:ascii="Calibri" w:hAnsi="Calibri" w:cs="Arial"/>
          <w:b/>
          <w:bCs/>
          <w:szCs w:val="24"/>
          <w:highlight w:val="yellow"/>
          <w:lang w:val="en-GB"/>
        </w:rPr>
        <w:br w:type="page"/>
      </w:r>
      <w:r w:rsidRPr="00D440C9">
        <w:rPr>
          <w:rFonts w:ascii="Calibri" w:hAnsi="Calibri" w:cs="Arial"/>
          <w:b/>
          <w:bCs/>
          <w:szCs w:val="24"/>
          <w:lang w:val="en-GB"/>
        </w:rPr>
        <w:lastRenderedPageBreak/>
        <w:t>CHIEF EXECUTIVE’S REVIEW OF THE BUSINESS</w:t>
      </w:r>
    </w:p>
    <w:p w:rsidR="008E32E2" w:rsidRPr="005E7B4F" w:rsidRDefault="008E32E2" w:rsidP="00E43AD8">
      <w:pPr>
        <w:pStyle w:val="BodyText"/>
        <w:jc w:val="both"/>
        <w:rPr>
          <w:rFonts w:asciiTheme="minorHAnsi" w:hAnsiTheme="minorHAnsi" w:cs="Arial"/>
          <w:b/>
          <w:szCs w:val="24"/>
          <w:lang w:val="en-GB"/>
        </w:rPr>
      </w:pPr>
    </w:p>
    <w:p w:rsidR="002B3F24" w:rsidRPr="005E7B4F" w:rsidRDefault="002B3F24" w:rsidP="00E43AD8">
      <w:pPr>
        <w:autoSpaceDE w:val="0"/>
        <w:autoSpaceDN w:val="0"/>
        <w:adjustRightInd w:val="0"/>
        <w:jc w:val="both"/>
        <w:rPr>
          <w:rFonts w:asciiTheme="minorHAnsi" w:hAnsiTheme="minorHAnsi" w:cs="HelveticaNeueLTStd-Bd"/>
          <w:b/>
          <w:color w:val="000000"/>
          <w:szCs w:val="24"/>
          <w:lang w:val="en-GB"/>
        </w:rPr>
      </w:pPr>
      <w:r w:rsidRPr="005E7B4F">
        <w:rPr>
          <w:rFonts w:asciiTheme="minorHAnsi" w:hAnsiTheme="minorHAnsi" w:cs="HelveticaNeueLTStd-Bd"/>
          <w:b/>
          <w:color w:val="000000"/>
          <w:szCs w:val="24"/>
          <w:lang w:val="en-GB"/>
        </w:rPr>
        <w:t>Trading performance</w:t>
      </w:r>
    </w:p>
    <w:p w:rsidR="002B3F24" w:rsidRDefault="002B3F24" w:rsidP="00E43AD8">
      <w:pPr>
        <w:autoSpaceDE w:val="0"/>
        <w:autoSpaceDN w:val="0"/>
        <w:adjustRightInd w:val="0"/>
        <w:jc w:val="both"/>
        <w:rPr>
          <w:rFonts w:asciiTheme="minorHAnsi" w:hAnsiTheme="minorHAnsi" w:cs="HelveticaNeueLTStd-Lt"/>
          <w:color w:val="000000"/>
          <w:szCs w:val="24"/>
          <w:lang w:val="en-GB"/>
        </w:rPr>
      </w:pPr>
      <w:r w:rsidRPr="005E7B4F">
        <w:rPr>
          <w:rFonts w:asciiTheme="minorHAnsi" w:hAnsiTheme="minorHAnsi" w:cs="HelveticaNeueLTStd-Lt"/>
          <w:color w:val="000000"/>
          <w:szCs w:val="24"/>
          <w:lang w:val="en-GB"/>
        </w:rPr>
        <w:t>The Group overall has done well to increase revenues by</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7.</w:t>
      </w:r>
      <w:r w:rsidR="00022053">
        <w:rPr>
          <w:rFonts w:asciiTheme="minorHAnsi" w:hAnsiTheme="minorHAnsi" w:cs="HelveticaNeueLTStd-Lt"/>
          <w:color w:val="000000"/>
          <w:szCs w:val="24"/>
          <w:lang w:val="en-GB"/>
        </w:rPr>
        <w:t>7</w:t>
      </w:r>
      <w:r w:rsidRPr="005E7B4F">
        <w:rPr>
          <w:rFonts w:asciiTheme="minorHAnsi" w:hAnsiTheme="minorHAnsi" w:cs="HelveticaNeueLTStd-Lt"/>
          <w:color w:val="000000"/>
          <w:szCs w:val="24"/>
          <w:lang w:val="en-GB"/>
        </w:rPr>
        <w:t>% in one of the toughest shipping markets for decades.</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It is important to understand how that performance breaks</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down by division.</w:t>
      </w:r>
    </w:p>
    <w:p w:rsidR="005E7B4F" w:rsidRPr="005E7B4F" w:rsidRDefault="005E7B4F" w:rsidP="00E43AD8">
      <w:pPr>
        <w:autoSpaceDE w:val="0"/>
        <w:autoSpaceDN w:val="0"/>
        <w:adjustRightInd w:val="0"/>
        <w:jc w:val="both"/>
        <w:rPr>
          <w:rFonts w:asciiTheme="minorHAnsi" w:hAnsiTheme="minorHAnsi" w:cs="HelveticaNeueLTStd-Lt"/>
          <w:color w:val="000000"/>
          <w:szCs w:val="24"/>
          <w:lang w:val="en-GB"/>
        </w:rPr>
      </w:pPr>
    </w:p>
    <w:p w:rsidR="002B3F24" w:rsidRDefault="002B3F24" w:rsidP="00E43AD8">
      <w:pPr>
        <w:autoSpaceDE w:val="0"/>
        <w:autoSpaceDN w:val="0"/>
        <w:adjustRightInd w:val="0"/>
        <w:jc w:val="both"/>
        <w:rPr>
          <w:rFonts w:asciiTheme="minorHAnsi" w:hAnsiTheme="minorHAnsi" w:cs="HelveticaNeueLTStd-Lt"/>
          <w:color w:val="000000"/>
          <w:szCs w:val="24"/>
          <w:lang w:val="en-GB"/>
        </w:rPr>
      </w:pPr>
      <w:r w:rsidRPr="005E7B4F">
        <w:rPr>
          <w:rFonts w:asciiTheme="minorHAnsi" w:hAnsiTheme="minorHAnsi" w:cs="HelveticaNeueLTStd-Lt"/>
          <w:color w:val="000000"/>
          <w:szCs w:val="24"/>
          <w:lang w:val="en-GB"/>
        </w:rPr>
        <w:t xml:space="preserve">The </w:t>
      </w:r>
      <w:proofErr w:type="spellStart"/>
      <w:r w:rsidRPr="005E7B4F">
        <w:rPr>
          <w:rFonts w:asciiTheme="minorHAnsi" w:hAnsiTheme="minorHAnsi" w:cs="HelveticaNeueLTStd-Lt"/>
          <w:color w:val="000000"/>
          <w:szCs w:val="24"/>
          <w:lang w:val="en-GB"/>
        </w:rPr>
        <w:t>Shipbroking</w:t>
      </w:r>
      <w:proofErr w:type="spellEnd"/>
      <w:r w:rsidRPr="005E7B4F">
        <w:rPr>
          <w:rFonts w:asciiTheme="minorHAnsi" w:hAnsiTheme="minorHAnsi" w:cs="HelveticaNeueLTStd-Lt"/>
          <w:color w:val="000000"/>
          <w:szCs w:val="24"/>
          <w:lang w:val="en-GB"/>
        </w:rPr>
        <w:t xml:space="preserve"> division</w:t>
      </w:r>
      <w:r w:rsidR="00022053">
        <w:rPr>
          <w:rFonts w:asciiTheme="minorHAnsi" w:hAnsiTheme="minorHAnsi" w:cs="HelveticaNeueLTStd-Lt"/>
          <w:color w:val="000000"/>
          <w:szCs w:val="24"/>
          <w:lang w:val="en-GB"/>
        </w:rPr>
        <w:t>, Braemar Seascope,</w:t>
      </w:r>
      <w:r w:rsidRPr="005E7B4F">
        <w:rPr>
          <w:rFonts w:asciiTheme="minorHAnsi" w:hAnsiTheme="minorHAnsi" w:cs="HelveticaNeueLTStd-Lt"/>
          <w:color w:val="000000"/>
          <w:szCs w:val="24"/>
          <w:lang w:val="en-GB"/>
        </w:rPr>
        <w:t xml:space="preserve"> increased its level of activity during</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the year</w:t>
      </w:r>
      <w:r w:rsidR="008A115D">
        <w:rPr>
          <w:rFonts w:asciiTheme="minorHAnsi" w:hAnsiTheme="minorHAnsi" w:cs="HelveticaNeueLTStd-Lt"/>
          <w:color w:val="000000"/>
          <w:szCs w:val="24"/>
          <w:lang w:val="en-GB"/>
        </w:rPr>
        <w:t xml:space="preserve"> achieving</w:t>
      </w:r>
      <w:r w:rsidRPr="005E7B4F">
        <w:rPr>
          <w:rFonts w:asciiTheme="minorHAnsi" w:hAnsiTheme="minorHAnsi" w:cs="HelveticaNeueLTStd-Lt"/>
          <w:color w:val="000000"/>
          <w:szCs w:val="24"/>
          <w:lang w:val="en-GB"/>
        </w:rPr>
        <w:t xml:space="preserve"> more transactions than in the prior year.</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The value of each transaction is down significantly </w:t>
      </w:r>
      <w:r w:rsidR="007D1C01">
        <w:rPr>
          <w:rFonts w:asciiTheme="minorHAnsi" w:hAnsiTheme="minorHAnsi" w:cs="HelveticaNeueLTStd-Lt"/>
          <w:color w:val="000000"/>
          <w:szCs w:val="24"/>
          <w:lang w:val="en-GB"/>
        </w:rPr>
        <w:t>due to</w:t>
      </w:r>
      <w:r w:rsidRPr="005E7B4F">
        <w:rPr>
          <w:rFonts w:asciiTheme="minorHAnsi" w:hAnsiTheme="minorHAnsi" w:cs="HelveticaNeueLTStd-Lt"/>
          <w:color w:val="000000"/>
          <w:szCs w:val="24"/>
          <w:lang w:val="en-GB"/>
        </w:rPr>
        <w:t xml:space="preserve"> lower ship values, lower freight rates and a smaller proportion</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of revenue coming from the forward order book. The net result is that </w:t>
      </w:r>
      <w:proofErr w:type="spellStart"/>
      <w:r w:rsidRPr="005E7B4F">
        <w:rPr>
          <w:rFonts w:asciiTheme="minorHAnsi" w:hAnsiTheme="minorHAnsi" w:cs="HelveticaNeueLTStd-Lt"/>
          <w:color w:val="000000"/>
          <w:szCs w:val="24"/>
          <w:lang w:val="en-GB"/>
        </w:rPr>
        <w:t>Shipbroking</w:t>
      </w:r>
      <w:proofErr w:type="spellEnd"/>
      <w:r w:rsidRPr="005E7B4F">
        <w:rPr>
          <w:rFonts w:asciiTheme="minorHAnsi" w:hAnsiTheme="minorHAnsi" w:cs="HelveticaNeueLTStd-Lt"/>
          <w:color w:val="000000"/>
          <w:szCs w:val="24"/>
          <w:lang w:val="en-GB"/>
        </w:rPr>
        <w:t xml:space="preserve"> revenue fell</w:t>
      </w:r>
      <w:r w:rsidR="005E7B4F">
        <w:rPr>
          <w:rFonts w:asciiTheme="minorHAnsi" w:hAnsiTheme="minorHAnsi" w:cs="HelveticaNeueLTStd-Lt"/>
          <w:color w:val="000000"/>
          <w:szCs w:val="24"/>
          <w:lang w:val="en-GB"/>
        </w:rPr>
        <w:t xml:space="preserve"> </w:t>
      </w:r>
      <w:r w:rsidR="00022053">
        <w:rPr>
          <w:rFonts w:asciiTheme="minorHAnsi" w:hAnsiTheme="minorHAnsi" w:cs="HelveticaNeueLTStd-Lt"/>
          <w:color w:val="000000"/>
          <w:szCs w:val="24"/>
          <w:lang w:val="en-GB"/>
        </w:rPr>
        <w:t>6.9</w:t>
      </w:r>
      <w:r w:rsidRPr="005E7B4F">
        <w:rPr>
          <w:rFonts w:asciiTheme="minorHAnsi" w:hAnsiTheme="minorHAnsi" w:cs="HelveticaNeueLTStd-Lt"/>
          <w:color w:val="000000"/>
          <w:szCs w:val="24"/>
          <w:lang w:val="en-GB"/>
        </w:rPr>
        <w:t>% to £46.4 million</w:t>
      </w:r>
      <w:r w:rsidR="008C2449">
        <w:rPr>
          <w:rFonts w:asciiTheme="minorHAnsi" w:hAnsiTheme="minorHAnsi" w:cs="HelveticaNeueLTStd-Lt"/>
          <w:color w:val="000000"/>
          <w:szCs w:val="24"/>
          <w:lang w:val="en-GB"/>
        </w:rPr>
        <w:t xml:space="preserve"> (2012: £49.8 million)</w:t>
      </w:r>
      <w:r w:rsidRPr="005E7B4F">
        <w:rPr>
          <w:rFonts w:asciiTheme="minorHAnsi" w:hAnsiTheme="minorHAnsi" w:cs="HelveticaNeueLTStd-Lt"/>
          <w:color w:val="000000"/>
          <w:szCs w:val="24"/>
          <w:lang w:val="en-GB"/>
        </w:rPr>
        <w:t>. Despite this £3.4 million fall in revenue,</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we have continued to invest in people and </w:t>
      </w:r>
      <w:r w:rsidR="00496A9C">
        <w:rPr>
          <w:rFonts w:asciiTheme="minorHAnsi" w:hAnsiTheme="minorHAnsi" w:cs="HelveticaNeueLTStd-Lt"/>
          <w:color w:val="000000"/>
          <w:szCs w:val="24"/>
          <w:lang w:val="en-GB"/>
        </w:rPr>
        <w:t>information technology</w:t>
      </w:r>
      <w:r w:rsidR="0011087B">
        <w:rPr>
          <w:rFonts w:asciiTheme="minorHAnsi" w:hAnsiTheme="minorHAnsi" w:cs="HelveticaNeueLTStd-Lt"/>
          <w:color w:val="000000"/>
          <w:szCs w:val="24"/>
          <w:lang w:val="en-GB"/>
        </w:rPr>
        <w:t xml:space="preserve"> to strengthen the business for the long term</w:t>
      </w:r>
      <w:r w:rsidR="0035670F">
        <w:rPr>
          <w:rFonts w:asciiTheme="minorHAnsi" w:hAnsiTheme="minorHAnsi" w:cs="HelveticaNeueLTStd-Lt"/>
          <w:color w:val="000000"/>
          <w:szCs w:val="24"/>
          <w:lang w:val="en-GB"/>
        </w:rPr>
        <w:t>, and</w:t>
      </w:r>
      <w:r w:rsidRPr="005E7B4F">
        <w:rPr>
          <w:rFonts w:asciiTheme="minorHAnsi" w:hAnsiTheme="minorHAnsi" w:cs="HelveticaNeueLTStd-Lt"/>
          <w:color w:val="000000"/>
          <w:szCs w:val="24"/>
          <w:lang w:val="en-GB"/>
        </w:rPr>
        <w:t xml:space="preserve"> as a result</w:t>
      </w:r>
      <w:r w:rsidR="0011087B">
        <w:rPr>
          <w:rFonts w:asciiTheme="minorHAnsi" w:hAnsiTheme="minorHAnsi" w:cs="HelveticaNeueLTStd-Lt"/>
          <w:color w:val="000000"/>
          <w:szCs w:val="24"/>
          <w:lang w:val="en-GB"/>
        </w:rPr>
        <w:t xml:space="preserve"> of a close control of costs</w:t>
      </w:r>
      <w:r w:rsidR="008A115D">
        <w:rPr>
          <w:rFonts w:asciiTheme="minorHAnsi" w:hAnsiTheme="minorHAnsi" w:cs="HelveticaNeueLTStd-Lt"/>
          <w:color w:val="000000"/>
          <w:szCs w:val="24"/>
          <w:lang w:val="en-GB"/>
        </w:rPr>
        <w:t xml:space="preserve"> we have been able to limit the fall in</w:t>
      </w:r>
      <w:r w:rsidRPr="005E7B4F">
        <w:rPr>
          <w:rFonts w:asciiTheme="minorHAnsi" w:hAnsiTheme="minorHAnsi" w:cs="HelveticaNeueLTStd-Lt"/>
          <w:color w:val="000000"/>
          <w:szCs w:val="24"/>
          <w:lang w:val="en-GB"/>
        </w:rPr>
        <w:t xml:space="preserve"> divisional operating profit</w:t>
      </w:r>
      <w:r w:rsidR="0035670F">
        <w:rPr>
          <w:rFonts w:asciiTheme="minorHAnsi" w:hAnsiTheme="minorHAnsi" w:cs="HelveticaNeueLTStd-Lt"/>
          <w:color w:val="000000"/>
          <w:szCs w:val="24"/>
          <w:lang w:val="en-GB"/>
        </w:rPr>
        <w:t>*</w:t>
      </w:r>
      <w:r w:rsidRPr="005E7B4F">
        <w:rPr>
          <w:rFonts w:asciiTheme="minorHAnsi" w:hAnsiTheme="minorHAnsi" w:cs="HelveticaNeueLTStd-Lt"/>
          <w:color w:val="000000"/>
          <w:szCs w:val="24"/>
          <w:lang w:val="en-GB"/>
        </w:rPr>
        <w:t xml:space="preserve"> </w:t>
      </w:r>
      <w:r w:rsidR="008A115D">
        <w:rPr>
          <w:rFonts w:asciiTheme="minorHAnsi" w:hAnsiTheme="minorHAnsi" w:cs="HelveticaNeueLTStd-Lt"/>
          <w:color w:val="000000"/>
          <w:szCs w:val="24"/>
          <w:lang w:val="en-GB"/>
        </w:rPr>
        <w:t>to</w:t>
      </w:r>
      <w:r w:rsidRPr="005E7B4F">
        <w:rPr>
          <w:rFonts w:asciiTheme="minorHAnsi" w:hAnsiTheme="minorHAnsi" w:cs="HelveticaNeueLTStd-Lt"/>
          <w:color w:val="000000"/>
          <w:szCs w:val="24"/>
          <w:lang w:val="en-GB"/>
        </w:rPr>
        <w:t xml:space="preserve"> £1.8 million.</w:t>
      </w:r>
    </w:p>
    <w:p w:rsidR="005E7B4F" w:rsidRPr="005E7B4F" w:rsidRDefault="005E7B4F" w:rsidP="00E43AD8">
      <w:pPr>
        <w:autoSpaceDE w:val="0"/>
        <w:autoSpaceDN w:val="0"/>
        <w:adjustRightInd w:val="0"/>
        <w:jc w:val="both"/>
        <w:rPr>
          <w:rFonts w:asciiTheme="minorHAnsi" w:hAnsiTheme="minorHAnsi" w:cs="HelveticaNeueLTStd-Lt"/>
          <w:color w:val="000000"/>
          <w:szCs w:val="24"/>
          <w:lang w:val="en-GB"/>
        </w:rPr>
      </w:pPr>
    </w:p>
    <w:p w:rsidR="002B3F24" w:rsidRDefault="002B3F24" w:rsidP="00E43AD8">
      <w:pPr>
        <w:autoSpaceDE w:val="0"/>
        <w:autoSpaceDN w:val="0"/>
        <w:adjustRightInd w:val="0"/>
        <w:jc w:val="both"/>
        <w:rPr>
          <w:rFonts w:asciiTheme="minorHAnsi" w:hAnsiTheme="minorHAnsi" w:cs="HelveticaNeueLTStd-Lt"/>
          <w:color w:val="000000"/>
          <w:szCs w:val="24"/>
          <w:lang w:val="en-GB"/>
        </w:rPr>
      </w:pPr>
      <w:r w:rsidRPr="005E7B4F">
        <w:rPr>
          <w:rFonts w:asciiTheme="minorHAnsi" w:hAnsiTheme="minorHAnsi" w:cs="HelveticaNeueLTStd-Lt"/>
          <w:color w:val="000000"/>
          <w:szCs w:val="24"/>
          <w:lang w:val="en-GB"/>
        </w:rPr>
        <w:t>The Technical division</w:t>
      </w:r>
      <w:r w:rsidR="00022053">
        <w:rPr>
          <w:rFonts w:asciiTheme="minorHAnsi" w:hAnsiTheme="minorHAnsi" w:cs="HelveticaNeueLTStd-Lt"/>
          <w:color w:val="000000"/>
          <w:szCs w:val="24"/>
          <w:lang w:val="en-GB"/>
        </w:rPr>
        <w:t>, Braemar Technical Services,</w:t>
      </w:r>
      <w:r w:rsidRPr="005E7B4F">
        <w:rPr>
          <w:rFonts w:asciiTheme="minorHAnsi" w:hAnsiTheme="minorHAnsi" w:cs="HelveticaNeueLTStd-Lt"/>
          <w:color w:val="000000"/>
          <w:szCs w:val="24"/>
          <w:lang w:val="en-GB"/>
        </w:rPr>
        <w:t xml:space="preserve"> has had an excellent year increasing</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revenues by 15.</w:t>
      </w:r>
      <w:r w:rsidR="00022053">
        <w:rPr>
          <w:rFonts w:asciiTheme="minorHAnsi" w:hAnsiTheme="minorHAnsi" w:cs="HelveticaNeueLTStd-Lt"/>
          <w:color w:val="000000"/>
          <w:szCs w:val="24"/>
          <w:lang w:val="en-GB"/>
        </w:rPr>
        <w:t>1</w:t>
      </w:r>
      <w:r w:rsidRPr="005E7B4F">
        <w:rPr>
          <w:rFonts w:asciiTheme="minorHAnsi" w:hAnsiTheme="minorHAnsi" w:cs="HelveticaNeueLTStd-Lt"/>
          <w:color w:val="000000"/>
          <w:szCs w:val="24"/>
          <w:lang w:val="en-GB"/>
        </w:rPr>
        <w:t>% to £36.8 million</w:t>
      </w:r>
      <w:r w:rsidR="008C2449">
        <w:rPr>
          <w:rFonts w:asciiTheme="minorHAnsi" w:hAnsiTheme="minorHAnsi" w:cs="HelveticaNeueLTStd-Lt"/>
          <w:color w:val="000000"/>
          <w:szCs w:val="24"/>
          <w:lang w:val="en-GB"/>
        </w:rPr>
        <w:t xml:space="preserve"> (2012: £3</w:t>
      </w:r>
      <w:r w:rsidR="001953B9">
        <w:rPr>
          <w:rFonts w:asciiTheme="minorHAnsi" w:hAnsiTheme="minorHAnsi" w:cs="HelveticaNeueLTStd-Lt"/>
          <w:color w:val="000000"/>
          <w:szCs w:val="24"/>
          <w:lang w:val="en-GB"/>
        </w:rPr>
        <w:t>2.0</w:t>
      </w:r>
      <w:r w:rsidR="008C2449">
        <w:rPr>
          <w:rFonts w:asciiTheme="minorHAnsi" w:hAnsiTheme="minorHAnsi" w:cs="HelveticaNeueLTStd-Lt"/>
          <w:color w:val="000000"/>
          <w:szCs w:val="24"/>
          <w:lang w:val="en-GB"/>
        </w:rPr>
        <w:t xml:space="preserve"> million)</w:t>
      </w:r>
      <w:r w:rsidRPr="005E7B4F">
        <w:rPr>
          <w:rFonts w:asciiTheme="minorHAnsi" w:hAnsiTheme="minorHAnsi" w:cs="HelveticaNeueLTStd-Lt"/>
          <w:color w:val="000000"/>
          <w:szCs w:val="24"/>
          <w:lang w:val="en-GB"/>
        </w:rPr>
        <w:t xml:space="preserve"> and delivering a</w:t>
      </w:r>
      <w:r w:rsidR="008C2449">
        <w:rPr>
          <w:rFonts w:asciiTheme="minorHAnsi" w:hAnsiTheme="minorHAnsi" w:cs="HelveticaNeueLTStd-Lt"/>
          <w:color w:val="000000"/>
          <w:szCs w:val="24"/>
          <w:lang w:val="en-GB"/>
        </w:rPr>
        <w:t>n increased</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divisional operating profit of £3.4 million</w:t>
      </w:r>
      <w:r w:rsidR="008C2449">
        <w:rPr>
          <w:rFonts w:asciiTheme="minorHAnsi" w:hAnsiTheme="minorHAnsi" w:cs="HelveticaNeueLTStd-Lt"/>
          <w:color w:val="000000"/>
          <w:szCs w:val="24"/>
          <w:lang w:val="en-GB"/>
        </w:rPr>
        <w:t xml:space="preserve"> (2012: £1.8 million)</w:t>
      </w:r>
      <w:r w:rsidRPr="005E7B4F">
        <w:rPr>
          <w:rFonts w:asciiTheme="minorHAnsi" w:hAnsiTheme="minorHAnsi" w:cs="HelveticaNeueLTStd-Lt"/>
          <w:color w:val="000000"/>
          <w:szCs w:val="24"/>
          <w:lang w:val="en-GB"/>
        </w:rPr>
        <w:t>. This improvement in</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operating profit of 8</w:t>
      </w:r>
      <w:r w:rsidR="00F41101">
        <w:rPr>
          <w:rFonts w:asciiTheme="minorHAnsi" w:hAnsiTheme="minorHAnsi" w:cs="HelveticaNeueLTStd-Lt"/>
          <w:color w:val="000000"/>
          <w:szCs w:val="24"/>
          <w:lang w:val="en-GB"/>
        </w:rPr>
        <w:t>8</w:t>
      </w:r>
      <w:r w:rsidRPr="005E7B4F">
        <w:rPr>
          <w:rFonts w:asciiTheme="minorHAnsi" w:hAnsiTheme="minorHAnsi" w:cs="HelveticaNeueLTStd-Lt"/>
          <w:color w:val="000000"/>
          <w:szCs w:val="24"/>
          <w:lang w:val="en-GB"/>
        </w:rPr>
        <w:t>% has been delivered across all areas of</w:t>
      </w:r>
      <w:r w:rsidR="005E7B4F">
        <w:rPr>
          <w:rFonts w:asciiTheme="minorHAnsi" w:hAnsiTheme="minorHAnsi" w:cs="HelveticaNeueLTStd-Lt"/>
          <w:color w:val="000000"/>
          <w:szCs w:val="24"/>
          <w:lang w:val="en-GB"/>
        </w:rPr>
        <w:t xml:space="preserve"> </w:t>
      </w:r>
      <w:r w:rsidR="007034E8">
        <w:rPr>
          <w:rFonts w:asciiTheme="minorHAnsi" w:hAnsiTheme="minorHAnsi" w:cs="HelveticaNeueLTStd-Lt"/>
          <w:color w:val="000000"/>
          <w:szCs w:val="24"/>
          <w:lang w:val="en-GB"/>
        </w:rPr>
        <w:t>the division</w:t>
      </w:r>
      <w:r w:rsidRPr="005E7B4F">
        <w:rPr>
          <w:rFonts w:asciiTheme="minorHAnsi" w:hAnsiTheme="minorHAnsi" w:cs="HelveticaNeueLTStd-Lt"/>
          <w:color w:val="000000"/>
          <w:szCs w:val="24"/>
          <w:lang w:val="en-GB"/>
        </w:rPr>
        <w:t xml:space="preserve"> but most notably by Braemar Offshore in Asia.</w:t>
      </w:r>
    </w:p>
    <w:p w:rsidR="005E7B4F" w:rsidRPr="005E7B4F" w:rsidRDefault="005E7B4F" w:rsidP="00E43AD8">
      <w:pPr>
        <w:autoSpaceDE w:val="0"/>
        <w:autoSpaceDN w:val="0"/>
        <w:adjustRightInd w:val="0"/>
        <w:jc w:val="both"/>
        <w:rPr>
          <w:rFonts w:asciiTheme="minorHAnsi" w:hAnsiTheme="minorHAnsi" w:cs="HelveticaNeueLTStd-Lt"/>
          <w:color w:val="000000"/>
          <w:szCs w:val="24"/>
          <w:lang w:val="en-GB"/>
        </w:rPr>
      </w:pPr>
    </w:p>
    <w:p w:rsidR="002B3F24" w:rsidRDefault="002B3F24" w:rsidP="00E43AD8">
      <w:pPr>
        <w:autoSpaceDE w:val="0"/>
        <w:autoSpaceDN w:val="0"/>
        <w:adjustRightInd w:val="0"/>
        <w:jc w:val="both"/>
        <w:rPr>
          <w:rFonts w:asciiTheme="minorHAnsi" w:hAnsiTheme="minorHAnsi" w:cs="HelveticaNeueLTStd-Lt"/>
          <w:color w:val="000000"/>
          <w:szCs w:val="24"/>
          <w:lang w:val="en-GB"/>
        </w:rPr>
      </w:pPr>
      <w:r w:rsidRPr="005E7B4F">
        <w:rPr>
          <w:rFonts w:asciiTheme="minorHAnsi" w:hAnsiTheme="minorHAnsi" w:cs="HelveticaNeueLTStd-Lt"/>
          <w:color w:val="000000"/>
          <w:szCs w:val="24"/>
          <w:lang w:val="en-GB"/>
        </w:rPr>
        <w:t>In the Logistics division,</w:t>
      </w:r>
      <w:r w:rsidR="00022053">
        <w:rPr>
          <w:rFonts w:asciiTheme="minorHAnsi" w:hAnsiTheme="minorHAnsi" w:cs="HelveticaNeueLTStd-Lt"/>
          <w:color w:val="000000"/>
          <w:szCs w:val="24"/>
          <w:lang w:val="en-GB"/>
        </w:rPr>
        <w:t xml:space="preserve"> Cory Brothers,</w:t>
      </w:r>
      <w:r w:rsidRPr="005E7B4F">
        <w:rPr>
          <w:rFonts w:asciiTheme="minorHAnsi" w:hAnsiTheme="minorHAnsi" w:cs="HelveticaNeueLTStd-Lt"/>
          <w:color w:val="000000"/>
          <w:szCs w:val="24"/>
          <w:lang w:val="en-GB"/>
        </w:rPr>
        <w:t xml:space="preserve"> ship agency revenues grew</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significantly but were offset by lower project forwarding</w:t>
      </w:r>
      <w:r w:rsidR="008A115D">
        <w:rPr>
          <w:rFonts w:asciiTheme="minorHAnsi" w:hAnsiTheme="minorHAnsi" w:cs="HelveticaNeueLTStd-Lt"/>
          <w:color w:val="000000"/>
          <w:szCs w:val="24"/>
          <w:lang w:val="en-GB"/>
        </w:rPr>
        <w:t xml:space="preserve"> activity</w:t>
      </w:r>
      <w:r w:rsidRPr="005E7B4F">
        <w:rPr>
          <w:rFonts w:asciiTheme="minorHAnsi" w:hAnsiTheme="minorHAnsi" w:cs="HelveticaNeueLTStd-Lt"/>
          <w:color w:val="000000"/>
          <w:szCs w:val="24"/>
          <w:lang w:val="en-GB"/>
        </w:rPr>
        <w:t>,</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leaving the overall revenues broadly unchanged</w:t>
      </w:r>
      <w:r w:rsidR="008C2449">
        <w:rPr>
          <w:rFonts w:asciiTheme="minorHAnsi" w:hAnsiTheme="minorHAnsi" w:cs="HelveticaNeueLTStd-Lt"/>
          <w:color w:val="000000"/>
          <w:szCs w:val="24"/>
          <w:lang w:val="en-GB"/>
        </w:rPr>
        <w:t xml:space="preserve"> at £37.5 million (2012: £37.6 million</w:t>
      </w:r>
      <w:r w:rsidR="00325D32">
        <w:rPr>
          <w:rFonts w:asciiTheme="minorHAnsi" w:hAnsiTheme="minorHAnsi" w:cs="HelveticaNeueLTStd-Lt"/>
          <w:color w:val="000000"/>
          <w:szCs w:val="24"/>
          <w:lang w:val="en-GB"/>
        </w:rPr>
        <w:t>)</w:t>
      </w:r>
      <w:r w:rsidRPr="005E7B4F">
        <w:rPr>
          <w:rFonts w:asciiTheme="minorHAnsi" w:hAnsiTheme="minorHAnsi" w:cs="HelveticaNeueLTStd-Lt"/>
          <w:color w:val="000000"/>
          <w:szCs w:val="24"/>
          <w:lang w:val="en-GB"/>
        </w:rPr>
        <w:t>. Th</w:t>
      </w:r>
      <w:r w:rsidR="008A115D">
        <w:rPr>
          <w:rFonts w:asciiTheme="minorHAnsi" w:hAnsiTheme="minorHAnsi" w:cs="HelveticaNeueLTStd-Lt"/>
          <w:color w:val="000000"/>
          <w:szCs w:val="24"/>
          <w:lang w:val="en-GB"/>
        </w:rPr>
        <w:t>e</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improvement in </w:t>
      </w:r>
      <w:r w:rsidR="0011087B">
        <w:rPr>
          <w:rFonts w:asciiTheme="minorHAnsi" w:hAnsiTheme="minorHAnsi" w:cs="HelveticaNeueLTStd-Lt"/>
          <w:color w:val="000000"/>
          <w:szCs w:val="24"/>
          <w:lang w:val="en-GB"/>
        </w:rPr>
        <w:t xml:space="preserve">ship </w:t>
      </w:r>
      <w:r w:rsidRPr="005E7B4F">
        <w:rPr>
          <w:rFonts w:asciiTheme="minorHAnsi" w:hAnsiTheme="minorHAnsi" w:cs="HelveticaNeueLTStd-Lt"/>
          <w:color w:val="000000"/>
          <w:szCs w:val="24"/>
          <w:lang w:val="en-GB"/>
        </w:rPr>
        <w:t>agency</w:t>
      </w:r>
      <w:r w:rsidR="005E7B4F">
        <w:rPr>
          <w:rFonts w:asciiTheme="minorHAnsi" w:hAnsiTheme="minorHAnsi" w:cs="HelveticaNeueLTStd-Lt"/>
          <w:color w:val="000000"/>
          <w:szCs w:val="24"/>
          <w:lang w:val="en-GB"/>
        </w:rPr>
        <w:t xml:space="preserve"> r</w:t>
      </w:r>
      <w:r w:rsidRPr="005E7B4F">
        <w:rPr>
          <w:rFonts w:asciiTheme="minorHAnsi" w:hAnsiTheme="minorHAnsi" w:cs="HelveticaNeueLTStd-Lt"/>
          <w:color w:val="000000"/>
          <w:szCs w:val="24"/>
          <w:lang w:val="en-GB"/>
        </w:rPr>
        <w:t>evenues has helped deliver a</w:t>
      </w:r>
      <w:r w:rsidR="00325D32">
        <w:rPr>
          <w:rFonts w:asciiTheme="minorHAnsi" w:hAnsiTheme="minorHAnsi" w:cs="HelveticaNeueLTStd-Lt"/>
          <w:color w:val="000000"/>
          <w:szCs w:val="24"/>
          <w:lang w:val="en-GB"/>
        </w:rPr>
        <w:t>n increased</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divisional operating profit of £2.0 million, £0.1 million ahead</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of the 2011/12 performance.</w:t>
      </w:r>
    </w:p>
    <w:p w:rsidR="005E7B4F" w:rsidRPr="005E7B4F" w:rsidRDefault="005E7B4F" w:rsidP="00E43AD8">
      <w:pPr>
        <w:autoSpaceDE w:val="0"/>
        <w:autoSpaceDN w:val="0"/>
        <w:adjustRightInd w:val="0"/>
        <w:jc w:val="both"/>
        <w:rPr>
          <w:rFonts w:asciiTheme="minorHAnsi" w:hAnsiTheme="minorHAnsi" w:cs="HelveticaNeueLTStd-Lt"/>
          <w:color w:val="000000"/>
          <w:szCs w:val="24"/>
          <w:lang w:val="en-GB"/>
        </w:rPr>
      </w:pPr>
    </w:p>
    <w:p w:rsidR="005A4905" w:rsidRPr="005E7B4F" w:rsidRDefault="002B3F24" w:rsidP="00E43AD8">
      <w:pPr>
        <w:autoSpaceDE w:val="0"/>
        <w:autoSpaceDN w:val="0"/>
        <w:adjustRightInd w:val="0"/>
        <w:jc w:val="both"/>
        <w:rPr>
          <w:rFonts w:asciiTheme="minorHAnsi" w:hAnsiTheme="minorHAnsi" w:cs="HelveticaNeueLTStd-Lt"/>
          <w:color w:val="000000"/>
          <w:szCs w:val="24"/>
          <w:lang w:val="en-GB"/>
        </w:rPr>
      </w:pPr>
      <w:r w:rsidRPr="005E7B4F">
        <w:rPr>
          <w:rFonts w:asciiTheme="minorHAnsi" w:hAnsiTheme="minorHAnsi" w:cs="HelveticaNeueLTStd-Lt"/>
          <w:color w:val="000000"/>
          <w:szCs w:val="24"/>
          <w:lang w:val="en-GB"/>
        </w:rPr>
        <w:t>The revenue of the Environmental division</w:t>
      </w:r>
      <w:r w:rsidR="00022053">
        <w:rPr>
          <w:rFonts w:asciiTheme="minorHAnsi" w:hAnsiTheme="minorHAnsi" w:cs="HelveticaNeueLTStd-Lt"/>
          <w:color w:val="000000"/>
          <w:szCs w:val="24"/>
          <w:lang w:val="en-GB"/>
        </w:rPr>
        <w:t>, Braemar Howells,</w:t>
      </w:r>
      <w:r w:rsidRPr="005E7B4F">
        <w:rPr>
          <w:rFonts w:asciiTheme="minorHAnsi" w:hAnsiTheme="minorHAnsi" w:cs="HelveticaNeueLTStd-Lt"/>
          <w:color w:val="000000"/>
          <w:szCs w:val="24"/>
          <w:lang w:val="en-GB"/>
        </w:rPr>
        <w:t xml:space="preserve"> was £23.4 million</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(2012: £14.5 million), including</w:t>
      </w:r>
      <w:r w:rsidR="00F41101">
        <w:rPr>
          <w:rFonts w:asciiTheme="minorHAnsi" w:hAnsiTheme="minorHAnsi" w:cs="HelveticaNeueLTStd-Lt"/>
          <w:color w:val="000000"/>
          <w:szCs w:val="24"/>
          <w:lang w:val="en-GB"/>
        </w:rPr>
        <w:t xml:space="preserve"> £18.</w:t>
      </w:r>
      <w:r w:rsidR="0002745C">
        <w:rPr>
          <w:rFonts w:asciiTheme="minorHAnsi" w:hAnsiTheme="minorHAnsi" w:cs="HelveticaNeueLTStd-Lt"/>
          <w:color w:val="000000"/>
          <w:szCs w:val="24"/>
          <w:lang w:val="en-GB"/>
        </w:rPr>
        <w:t>9</w:t>
      </w:r>
      <w:r w:rsidR="00F41101">
        <w:rPr>
          <w:rFonts w:asciiTheme="minorHAnsi" w:hAnsiTheme="minorHAnsi" w:cs="HelveticaNeueLTStd-Lt"/>
          <w:color w:val="000000"/>
          <w:szCs w:val="24"/>
          <w:lang w:val="en-GB"/>
        </w:rPr>
        <w:t xml:space="preserve"> million (2012: £</w:t>
      </w:r>
      <w:r w:rsidR="008C2449">
        <w:rPr>
          <w:rFonts w:asciiTheme="minorHAnsi" w:hAnsiTheme="minorHAnsi" w:cs="HelveticaNeueLTStd-Lt"/>
          <w:color w:val="000000"/>
          <w:szCs w:val="24"/>
          <w:lang w:val="en-GB"/>
        </w:rPr>
        <w:t>9.0</w:t>
      </w:r>
      <w:r w:rsidR="00F41101">
        <w:rPr>
          <w:rFonts w:asciiTheme="minorHAnsi" w:hAnsiTheme="minorHAnsi" w:cs="HelveticaNeueLTStd-Lt"/>
          <w:color w:val="000000"/>
          <w:szCs w:val="24"/>
          <w:lang w:val="en-GB"/>
        </w:rPr>
        <w:t xml:space="preserve"> mill</w:t>
      </w:r>
      <w:r w:rsidRPr="005E7B4F">
        <w:rPr>
          <w:rFonts w:asciiTheme="minorHAnsi" w:hAnsiTheme="minorHAnsi" w:cs="HelveticaNeueLTStd-Lt"/>
          <w:color w:val="000000"/>
          <w:szCs w:val="24"/>
          <w:lang w:val="en-GB"/>
        </w:rPr>
        <w:t>ion)</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relating to the </w:t>
      </w:r>
      <w:r w:rsidRPr="005E7B4F">
        <w:rPr>
          <w:rFonts w:asciiTheme="minorHAnsi" w:hAnsiTheme="minorHAnsi" w:cs="HelveticaNeueLTStd-LtIt"/>
          <w:i/>
          <w:iCs/>
          <w:color w:val="000000"/>
          <w:szCs w:val="24"/>
          <w:lang w:val="en-GB"/>
        </w:rPr>
        <w:t xml:space="preserve">RENA </w:t>
      </w:r>
      <w:r w:rsidRPr="005E7B4F">
        <w:rPr>
          <w:rFonts w:asciiTheme="minorHAnsi" w:hAnsiTheme="minorHAnsi" w:cs="HelveticaNeueLTStd-Lt"/>
          <w:color w:val="000000"/>
          <w:szCs w:val="24"/>
          <w:lang w:val="en-GB"/>
        </w:rPr>
        <w:t>project. The divisional operating</w:t>
      </w:r>
      <w:r w:rsid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profit was £2.7 million (2012: £1.9 million</w:t>
      </w:r>
      <w:r w:rsidR="005E7B4F">
        <w:rPr>
          <w:rFonts w:asciiTheme="minorHAnsi" w:hAnsiTheme="minorHAnsi" w:cs="HelveticaNeueLTStd-Lt"/>
          <w:color w:val="000000"/>
          <w:szCs w:val="24"/>
          <w:lang w:val="en-GB"/>
        </w:rPr>
        <w:t>).</w:t>
      </w:r>
    </w:p>
    <w:p w:rsidR="002B3F24" w:rsidRDefault="002B3F24" w:rsidP="00E43AD8">
      <w:pPr>
        <w:pStyle w:val="BodyText"/>
        <w:jc w:val="both"/>
        <w:rPr>
          <w:rFonts w:asciiTheme="minorHAnsi" w:hAnsiTheme="minorHAnsi" w:cs="HelveticaNeueLTStd-Lt"/>
          <w:color w:val="000000"/>
          <w:szCs w:val="24"/>
          <w:lang w:val="en-GB"/>
        </w:rPr>
      </w:pPr>
    </w:p>
    <w:p w:rsidR="0035670F" w:rsidRDefault="0035670F" w:rsidP="0035670F">
      <w:pPr>
        <w:pStyle w:val="BodyText"/>
        <w:jc w:val="both"/>
        <w:rPr>
          <w:rFonts w:asciiTheme="minorHAnsi" w:hAnsiTheme="minorHAnsi" w:cs="HelveticaNeueLTStd-Lt"/>
          <w:color w:val="000000"/>
          <w:szCs w:val="24"/>
          <w:lang w:val="en-GB"/>
        </w:rPr>
      </w:pPr>
      <w:r>
        <w:rPr>
          <w:rFonts w:asciiTheme="minorHAnsi" w:hAnsiTheme="minorHAnsi" w:cs="HelveticaNeueLTStd-Lt"/>
          <w:color w:val="000000"/>
          <w:szCs w:val="24"/>
          <w:lang w:val="en-GB"/>
        </w:rPr>
        <w:t>* Divisional operating profit is defined as operating profit before amortisation of other intangible assets and non-recurring items</w:t>
      </w:r>
    </w:p>
    <w:p w:rsidR="0035670F" w:rsidRPr="005E7B4F" w:rsidRDefault="0035670F" w:rsidP="00E43AD8">
      <w:pPr>
        <w:pStyle w:val="BodyText"/>
        <w:jc w:val="both"/>
        <w:rPr>
          <w:rFonts w:asciiTheme="minorHAnsi" w:hAnsiTheme="minorHAnsi" w:cs="HelveticaNeueLTStd-Lt"/>
          <w:color w:val="000000"/>
          <w:szCs w:val="24"/>
          <w:lang w:val="en-GB"/>
        </w:rPr>
      </w:pPr>
    </w:p>
    <w:p w:rsidR="002B3F24" w:rsidRPr="005E7B4F" w:rsidRDefault="002B3F24" w:rsidP="00E43AD8">
      <w:pPr>
        <w:autoSpaceDE w:val="0"/>
        <w:autoSpaceDN w:val="0"/>
        <w:adjustRightInd w:val="0"/>
        <w:jc w:val="both"/>
        <w:rPr>
          <w:rFonts w:asciiTheme="minorHAnsi" w:hAnsiTheme="minorHAnsi" w:cs="HelveticaNeueLTStd-Bd"/>
          <w:b/>
          <w:szCs w:val="24"/>
          <w:lang w:val="en-GB"/>
        </w:rPr>
      </w:pPr>
      <w:r w:rsidRPr="005E7B4F">
        <w:rPr>
          <w:rFonts w:asciiTheme="minorHAnsi" w:hAnsiTheme="minorHAnsi" w:cs="HelveticaNeueLTStd-Bd"/>
          <w:b/>
          <w:szCs w:val="24"/>
          <w:lang w:val="en-GB"/>
        </w:rPr>
        <w:t>Strategic development</w:t>
      </w:r>
    </w:p>
    <w:p w:rsidR="005E7B4F" w:rsidRDefault="002B3F24"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szCs w:val="24"/>
          <w:lang w:val="en-GB"/>
        </w:rPr>
        <w:t>It is apparent from the results of 2013 that the strategy to</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develop a more broadly based business has reduced the</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volatility of the Group’s results and the exposure to the shipping</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cycle. There is potential to develop all our existing</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divisions through organic growth, business improvement</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and further acquisiti</w:t>
      </w:r>
      <w:r w:rsidR="008A115D">
        <w:rPr>
          <w:rFonts w:asciiTheme="minorHAnsi" w:hAnsiTheme="minorHAnsi" w:cs="HelveticaNeueLTStd-Lt"/>
          <w:szCs w:val="24"/>
          <w:lang w:val="en-GB"/>
        </w:rPr>
        <w:t>ons</w:t>
      </w:r>
      <w:r w:rsidR="008E2AD1">
        <w:rPr>
          <w:rFonts w:asciiTheme="minorHAnsi" w:hAnsiTheme="minorHAnsi" w:cs="HelveticaNeueLTStd-Lt"/>
          <w:szCs w:val="24"/>
          <w:lang w:val="en-GB"/>
        </w:rPr>
        <w:t xml:space="preserve"> where the quality of earnings can be maintained</w:t>
      </w:r>
      <w:r w:rsidRPr="005E7B4F">
        <w:rPr>
          <w:rFonts w:asciiTheme="minorHAnsi" w:hAnsiTheme="minorHAnsi" w:cs="HelveticaNeueLTStd-Lt"/>
          <w:szCs w:val="24"/>
          <w:lang w:val="en-GB"/>
        </w:rPr>
        <w:t>.</w:t>
      </w:r>
    </w:p>
    <w:p w:rsidR="005E7B4F" w:rsidRDefault="005E7B4F" w:rsidP="00E43AD8">
      <w:pPr>
        <w:autoSpaceDE w:val="0"/>
        <w:autoSpaceDN w:val="0"/>
        <w:adjustRightInd w:val="0"/>
        <w:jc w:val="both"/>
        <w:rPr>
          <w:rFonts w:asciiTheme="minorHAnsi" w:hAnsiTheme="minorHAnsi" w:cs="HelveticaNeueLTStd-Lt"/>
          <w:szCs w:val="24"/>
          <w:lang w:val="en-GB"/>
        </w:rPr>
      </w:pPr>
    </w:p>
    <w:p w:rsidR="002B3F24" w:rsidRDefault="002B3F24"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szCs w:val="24"/>
          <w:lang w:val="en-GB"/>
        </w:rPr>
        <w:t xml:space="preserve">We have continued to </w:t>
      </w:r>
      <w:r w:rsidR="008A115D">
        <w:rPr>
          <w:rFonts w:asciiTheme="minorHAnsi" w:hAnsiTheme="minorHAnsi" w:cs="HelveticaNeueLTStd-Lt"/>
          <w:szCs w:val="24"/>
          <w:lang w:val="en-GB"/>
        </w:rPr>
        <w:t>improve</w:t>
      </w:r>
      <w:r w:rsidRPr="005E7B4F">
        <w:rPr>
          <w:rFonts w:asciiTheme="minorHAnsi" w:hAnsiTheme="minorHAnsi" w:cs="HelveticaNeueLTStd-Lt"/>
          <w:szCs w:val="24"/>
          <w:lang w:val="en-GB"/>
        </w:rPr>
        <w:t xml:space="preserve"> the infrastructure to support our</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global </w:t>
      </w:r>
      <w:proofErr w:type="spellStart"/>
      <w:r w:rsidRPr="005E7B4F">
        <w:rPr>
          <w:rFonts w:asciiTheme="minorHAnsi" w:hAnsiTheme="minorHAnsi" w:cs="HelveticaNeueLTStd-Lt"/>
          <w:szCs w:val="24"/>
          <w:lang w:val="en-GB"/>
        </w:rPr>
        <w:t>Shipbroking</w:t>
      </w:r>
      <w:proofErr w:type="spellEnd"/>
      <w:r w:rsidRPr="005E7B4F">
        <w:rPr>
          <w:rFonts w:asciiTheme="minorHAnsi" w:hAnsiTheme="minorHAnsi" w:cs="HelveticaNeueLTStd-Lt"/>
          <w:szCs w:val="24"/>
          <w:lang w:val="en-GB"/>
        </w:rPr>
        <w:t xml:space="preserve"> division. We now have </w:t>
      </w:r>
      <w:r w:rsidR="00022053">
        <w:rPr>
          <w:rFonts w:asciiTheme="minorHAnsi" w:hAnsiTheme="minorHAnsi" w:cs="HelveticaNeueLTStd-Lt"/>
          <w:szCs w:val="24"/>
          <w:lang w:val="en-GB"/>
        </w:rPr>
        <w:t>2</w:t>
      </w:r>
      <w:r w:rsidR="00C142C7">
        <w:rPr>
          <w:rFonts w:asciiTheme="minorHAnsi" w:hAnsiTheme="minorHAnsi" w:cs="HelveticaNeueLTStd-Lt"/>
          <w:szCs w:val="24"/>
          <w:lang w:val="en-GB"/>
        </w:rPr>
        <w:t>8</w:t>
      </w:r>
      <w:r w:rsidR="00022053">
        <w:rPr>
          <w:rFonts w:asciiTheme="minorHAnsi" w:hAnsiTheme="minorHAnsi" w:cs="HelveticaNeueLTStd-Lt"/>
          <w:szCs w:val="24"/>
          <w:lang w:val="en-GB"/>
        </w:rPr>
        <w:t>9</w:t>
      </w:r>
      <w:r w:rsidR="007D1C01" w:rsidRP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staff engaged</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in </w:t>
      </w:r>
      <w:proofErr w:type="spellStart"/>
      <w:r w:rsidRPr="005E7B4F">
        <w:rPr>
          <w:rFonts w:asciiTheme="minorHAnsi" w:hAnsiTheme="minorHAnsi" w:cs="HelveticaNeueLTStd-Lt"/>
          <w:szCs w:val="24"/>
          <w:lang w:val="en-GB"/>
        </w:rPr>
        <w:t>shipbroking</w:t>
      </w:r>
      <w:proofErr w:type="spellEnd"/>
      <w:r w:rsidRPr="005E7B4F">
        <w:rPr>
          <w:rFonts w:asciiTheme="minorHAnsi" w:hAnsiTheme="minorHAnsi" w:cs="HelveticaNeueLTStd-Lt"/>
          <w:szCs w:val="24"/>
          <w:lang w:val="en-GB"/>
        </w:rPr>
        <w:t xml:space="preserve"> activity and its support, of which 59% are</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in the UK </w:t>
      </w:r>
      <w:r w:rsidR="007D1C01">
        <w:rPr>
          <w:rFonts w:asciiTheme="minorHAnsi" w:hAnsiTheme="minorHAnsi" w:cs="HelveticaNeueLTStd-Lt"/>
          <w:szCs w:val="24"/>
          <w:lang w:val="en-GB"/>
        </w:rPr>
        <w:t>with</w:t>
      </w:r>
      <w:r w:rsidR="007D1C01" w:rsidRP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the rest in Singapore, China,</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Australia</w:t>
      </w:r>
      <w:r w:rsidR="007D1C01">
        <w:rPr>
          <w:rFonts w:asciiTheme="minorHAnsi" w:hAnsiTheme="minorHAnsi" w:cs="HelveticaNeueLTStd-Lt"/>
          <w:szCs w:val="24"/>
          <w:lang w:val="en-GB"/>
        </w:rPr>
        <w:t>,</w:t>
      </w:r>
      <w:r w:rsidRPr="005E7B4F">
        <w:rPr>
          <w:rFonts w:asciiTheme="minorHAnsi" w:hAnsiTheme="minorHAnsi" w:cs="HelveticaNeueLTStd-Lt"/>
          <w:szCs w:val="24"/>
          <w:lang w:val="en-GB"/>
        </w:rPr>
        <w:t xml:space="preserve"> India</w:t>
      </w:r>
      <w:r w:rsidR="007D1C01">
        <w:rPr>
          <w:rFonts w:asciiTheme="minorHAnsi" w:hAnsiTheme="minorHAnsi" w:cs="HelveticaNeueLTStd-Lt"/>
          <w:szCs w:val="24"/>
          <w:lang w:val="en-GB"/>
        </w:rPr>
        <w:t>, USA and Norway</w:t>
      </w:r>
      <w:r w:rsidRPr="005E7B4F">
        <w:rPr>
          <w:rFonts w:asciiTheme="minorHAnsi" w:hAnsiTheme="minorHAnsi" w:cs="HelveticaNeueLTStd-Lt"/>
          <w:szCs w:val="24"/>
          <w:lang w:val="en-GB"/>
        </w:rPr>
        <w:t>. This global coverage is now supported</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by a single IT infrastructure that is being upgraded in 2013</w:t>
      </w:r>
      <w:r w:rsidR="00325D32">
        <w:rPr>
          <w:rFonts w:asciiTheme="minorHAnsi" w:hAnsiTheme="minorHAnsi" w:cs="HelveticaNeueLTStd-Lt"/>
          <w:szCs w:val="24"/>
          <w:lang w:val="en-GB"/>
        </w:rPr>
        <w:t xml:space="preserve"> enabling value-adding information exchange</w:t>
      </w:r>
      <w:r w:rsidRPr="005E7B4F">
        <w:rPr>
          <w:rFonts w:asciiTheme="minorHAnsi" w:hAnsiTheme="minorHAnsi" w:cs="HelveticaNeueLTStd-Lt"/>
          <w:szCs w:val="24"/>
          <w:lang w:val="en-GB"/>
        </w:rPr>
        <w:t>.</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We also increased our presence in the Far East and have an</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excellent platform on which to build a larger scale business.</w:t>
      </w:r>
      <w:r w:rsidR="00325D32">
        <w:rPr>
          <w:rFonts w:asciiTheme="minorHAnsi" w:hAnsiTheme="minorHAnsi" w:cs="HelveticaNeueLTStd-Lt"/>
          <w:szCs w:val="24"/>
          <w:lang w:val="en-GB"/>
        </w:rPr>
        <w:t xml:space="preserve"> Since the end of the</w:t>
      </w:r>
      <w:r w:rsidR="00022053">
        <w:rPr>
          <w:rFonts w:asciiTheme="minorHAnsi" w:hAnsiTheme="minorHAnsi" w:cs="HelveticaNeueLTStd-Lt"/>
          <w:szCs w:val="24"/>
          <w:lang w:val="en-GB"/>
        </w:rPr>
        <w:t xml:space="preserve"> financial</w:t>
      </w:r>
      <w:r w:rsidR="00325D32">
        <w:rPr>
          <w:rFonts w:asciiTheme="minorHAnsi" w:hAnsiTheme="minorHAnsi" w:cs="HelveticaNeueLTStd-Lt"/>
          <w:szCs w:val="24"/>
          <w:lang w:val="en-GB"/>
        </w:rPr>
        <w:t xml:space="preserve"> year we have expanded our geographic reach, acquiring teams in Houston and Oslo.</w:t>
      </w:r>
    </w:p>
    <w:p w:rsidR="005E7B4F" w:rsidRPr="005E7B4F" w:rsidRDefault="005E7B4F" w:rsidP="00E43AD8">
      <w:pPr>
        <w:autoSpaceDE w:val="0"/>
        <w:autoSpaceDN w:val="0"/>
        <w:adjustRightInd w:val="0"/>
        <w:jc w:val="both"/>
        <w:rPr>
          <w:rFonts w:asciiTheme="minorHAnsi" w:hAnsiTheme="minorHAnsi" w:cs="HelveticaNeueLTStd-Lt"/>
          <w:szCs w:val="24"/>
          <w:lang w:val="en-GB"/>
        </w:rPr>
      </w:pPr>
    </w:p>
    <w:p w:rsidR="005E7B4F" w:rsidRDefault="002B3F24"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szCs w:val="24"/>
          <w:lang w:val="en-GB"/>
        </w:rPr>
        <w:t xml:space="preserve">The recent success of </w:t>
      </w:r>
      <w:r w:rsidR="007034E8">
        <w:rPr>
          <w:rFonts w:asciiTheme="minorHAnsi" w:hAnsiTheme="minorHAnsi" w:cs="HelveticaNeueLTStd-Lt"/>
          <w:szCs w:val="24"/>
          <w:lang w:val="en-GB"/>
        </w:rPr>
        <w:t>Braemar Technical Services</w:t>
      </w:r>
      <w:r w:rsidRPr="005E7B4F">
        <w:rPr>
          <w:rFonts w:asciiTheme="minorHAnsi" w:hAnsiTheme="minorHAnsi" w:cs="HelveticaNeueLTStd-Lt"/>
          <w:szCs w:val="24"/>
          <w:lang w:val="en-GB"/>
        </w:rPr>
        <w:t xml:space="preserve"> has resulted</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from the management of each of the </w:t>
      </w:r>
      <w:r w:rsidR="005E7B4F">
        <w:rPr>
          <w:rFonts w:asciiTheme="minorHAnsi" w:hAnsiTheme="minorHAnsi" w:cs="HelveticaNeueLTStd-Lt"/>
          <w:szCs w:val="24"/>
          <w:lang w:val="en-GB"/>
        </w:rPr>
        <w:t>i</w:t>
      </w:r>
      <w:r w:rsidRPr="005E7B4F">
        <w:rPr>
          <w:rFonts w:asciiTheme="minorHAnsi" w:hAnsiTheme="minorHAnsi" w:cs="HelveticaNeueLTStd-Lt"/>
          <w:szCs w:val="24"/>
          <w:lang w:val="en-GB"/>
        </w:rPr>
        <w:t>ndividual business units</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taking advantage of the growth opportunities in the markets</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in which they operate. The division now employs 35</w:t>
      </w:r>
      <w:r w:rsidR="00C142C7">
        <w:rPr>
          <w:rFonts w:asciiTheme="minorHAnsi" w:hAnsiTheme="minorHAnsi" w:cs="HelveticaNeueLTStd-Lt"/>
          <w:szCs w:val="24"/>
          <w:lang w:val="en-GB"/>
        </w:rPr>
        <w:t>1</w:t>
      </w:r>
      <w:r w:rsidRPr="005E7B4F">
        <w:rPr>
          <w:rFonts w:asciiTheme="minorHAnsi" w:hAnsiTheme="minorHAnsi" w:cs="HelveticaNeueLTStd-Lt"/>
          <w:szCs w:val="24"/>
          <w:lang w:val="en-GB"/>
        </w:rPr>
        <w:t xml:space="preserve"> staff, of</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which 48% are</w:t>
      </w:r>
      <w:r w:rsidR="00022053">
        <w:rPr>
          <w:rFonts w:asciiTheme="minorHAnsi" w:hAnsiTheme="minorHAnsi" w:cs="HelveticaNeueLTStd-Lt"/>
          <w:szCs w:val="24"/>
          <w:lang w:val="en-GB"/>
        </w:rPr>
        <w:t xml:space="preserve"> based</w:t>
      </w:r>
      <w:r w:rsidRPr="005E7B4F">
        <w:rPr>
          <w:rFonts w:asciiTheme="minorHAnsi" w:hAnsiTheme="minorHAnsi" w:cs="HelveticaNeueLTStd-Lt"/>
          <w:szCs w:val="24"/>
          <w:lang w:val="en-GB"/>
        </w:rPr>
        <w:t xml:space="preserve"> in the fast growing Asia-</w:t>
      </w:r>
      <w:r w:rsidRPr="005E7B4F">
        <w:rPr>
          <w:rFonts w:asciiTheme="minorHAnsi" w:hAnsiTheme="minorHAnsi" w:cs="HelveticaNeueLTStd-Lt"/>
          <w:szCs w:val="24"/>
          <w:lang w:val="en-GB"/>
        </w:rPr>
        <w:lastRenderedPageBreak/>
        <w:t>Pacific region. While</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there remains significant growth potential for the individual</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businesses within Technical, we also believe that the division</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can be further enhanced by increased collaboration and by</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efficiencies gained through the integration of certain functions.</w:t>
      </w:r>
    </w:p>
    <w:p w:rsidR="005E7B4F" w:rsidRDefault="005E7B4F" w:rsidP="00E43AD8">
      <w:pPr>
        <w:autoSpaceDE w:val="0"/>
        <w:autoSpaceDN w:val="0"/>
        <w:adjustRightInd w:val="0"/>
        <w:jc w:val="both"/>
        <w:rPr>
          <w:rFonts w:asciiTheme="minorHAnsi" w:hAnsiTheme="minorHAnsi" w:cs="HelveticaNeueLTStd-Lt"/>
          <w:szCs w:val="24"/>
          <w:lang w:val="en-GB"/>
        </w:rPr>
      </w:pPr>
    </w:p>
    <w:p w:rsidR="002B3F24" w:rsidRDefault="002B3F24"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szCs w:val="24"/>
          <w:lang w:val="en-GB"/>
        </w:rPr>
        <w:t xml:space="preserve">The marketplace for </w:t>
      </w:r>
      <w:r w:rsidR="00022053">
        <w:rPr>
          <w:rFonts w:asciiTheme="minorHAnsi" w:hAnsiTheme="minorHAnsi" w:cs="HelveticaNeueLTStd-Lt"/>
          <w:szCs w:val="24"/>
          <w:lang w:val="en-GB"/>
        </w:rPr>
        <w:t>Cory Brothers</w:t>
      </w:r>
      <w:r w:rsidRPr="005E7B4F">
        <w:rPr>
          <w:rFonts w:asciiTheme="minorHAnsi" w:hAnsiTheme="minorHAnsi" w:cs="HelveticaNeueLTStd-Lt"/>
          <w:szCs w:val="24"/>
          <w:lang w:val="en-GB"/>
        </w:rPr>
        <w:t xml:space="preserve"> now has a number</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of global players but also has a significant number of smaller</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local players. This provides opportunity to build our global</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presence particularly by expanding the service we offer to</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our customers with an international spread of businesses.</w:t>
      </w:r>
      <w:r w:rsidR="005E7B4F">
        <w:rPr>
          <w:rFonts w:asciiTheme="minorHAnsi" w:hAnsiTheme="minorHAnsi" w:cs="HelveticaNeueLTStd-Lt"/>
          <w:szCs w:val="24"/>
          <w:lang w:val="en-GB"/>
        </w:rPr>
        <w:t xml:space="preserve"> </w:t>
      </w:r>
      <w:r w:rsidR="00022053">
        <w:rPr>
          <w:rFonts w:asciiTheme="minorHAnsi" w:hAnsiTheme="minorHAnsi" w:cs="HelveticaNeueLTStd-Lt"/>
          <w:szCs w:val="24"/>
          <w:lang w:val="en-GB"/>
        </w:rPr>
        <w:t>The division</w:t>
      </w:r>
      <w:r w:rsidRPr="005E7B4F">
        <w:rPr>
          <w:rFonts w:asciiTheme="minorHAnsi" w:hAnsiTheme="minorHAnsi" w:cs="HelveticaNeueLTStd-Lt"/>
          <w:szCs w:val="24"/>
          <w:lang w:val="en-GB"/>
        </w:rPr>
        <w:t xml:space="preserve"> employ</w:t>
      </w:r>
      <w:r w:rsidR="00022053">
        <w:rPr>
          <w:rFonts w:asciiTheme="minorHAnsi" w:hAnsiTheme="minorHAnsi" w:cs="HelveticaNeueLTStd-Lt"/>
          <w:szCs w:val="24"/>
          <w:lang w:val="en-GB"/>
        </w:rPr>
        <w:t>s</w:t>
      </w:r>
      <w:r w:rsidRPr="005E7B4F">
        <w:rPr>
          <w:rFonts w:asciiTheme="minorHAnsi" w:hAnsiTheme="minorHAnsi" w:cs="HelveticaNeueLTStd-Lt"/>
          <w:szCs w:val="24"/>
          <w:lang w:val="en-GB"/>
        </w:rPr>
        <w:t xml:space="preserve"> 22</w:t>
      </w:r>
      <w:r w:rsidR="00C142C7">
        <w:rPr>
          <w:rFonts w:asciiTheme="minorHAnsi" w:hAnsiTheme="minorHAnsi" w:cs="HelveticaNeueLTStd-Lt"/>
          <w:szCs w:val="24"/>
          <w:lang w:val="en-GB"/>
        </w:rPr>
        <w:t>8</w:t>
      </w:r>
      <w:r w:rsidRPr="005E7B4F">
        <w:rPr>
          <w:rFonts w:asciiTheme="minorHAnsi" w:hAnsiTheme="minorHAnsi" w:cs="HelveticaNeueLTStd-Lt"/>
          <w:szCs w:val="24"/>
          <w:lang w:val="en-GB"/>
        </w:rPr>
        <w:t xml:space="preserve"> staff in the UK and Singapore.</w:t>
      </w:r>
    </w:p>
    <w:p w:rsidR="005E7B4F" w:rsidRPr="005E7B4F" w:rsidRDefault="005E7B4F" w:rsidP="00E43AD8">
      <w:pPr>
        <w:autoSpaceDE w:val="0"/>
        <w:autoSpaceDN w:val="0"/>
        <w:adjustRightInd w:val="0"/>
        <w:jc w:val="both"/>
        <w:rPr>
          <w:rFonts w:asciiTheme="minorHAnsi" w:hAnsiTheme="minorHAnsi" w:cs="HelveticaNeueLTStd-Lt"/>
          <w:szCs w:val="24"/>
          <w:lang w:val="en-GB"/>
        </w:rPr>
      </w:pPr>
    </w:p>
    <w:p w:rsidR="002B3F24" w:rsidRDefault="002B3F24"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szCs w:val="24"/>
          <w:lang w:val="en-GB"/>
        </w:rPr>
        <w:t>The Environmental division has earned a well-deserved</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reputation for safely dealing with marine catastrophe as well</w:t>
      </w:r>
      <w:r w:rsidR="005E7B4F">
        <w:rPr>
          <w:rFonts w:asciiTheme="minorHAnsi" w:hAnsiTheme="minorHAnsi" w:cs="HelveticaNeueLTStd-Lt"/>
          <w:szCs w:val="24"/>
          <w:lang w:val="en-GB"/>
        </w:rPr>
        <w:t xml:space="preserve"> </w:t>
      </w:r>
      <w:r w:rsidRPr="005E7B4F">
        <w:rPr>
          <w:rFonts w:asciiTheme="minorHAnsi" w:hAnsiTheme="minorHAnsi" w:cs="HelveticaNeueLTStd-Lt"/>
          <w:szCs w:val="24"/>
          <w:lang w:val="en-GB"/>
        </w:rPr>
        <w:t>as advising on preventative measures.</w:t>
      </w:r>
      <w:r w:rsidR="00325D32">
        <w:rPr>
          <w:rFonts w:asciiTheme="minorHAnsi" w:hAnsiTheme="minorHAnsi" w:cs="HelveticaNeueLTStd-Lt"/>
          <w:szCs w:val="24"/>
          <w:lang w:val="en-GB"/>
        </w:rPr>
        <w:t xml:space="preserve"> This is the foundation for establishing Braemar Howells as an international provider of environmental crisis management services.</w:t>
      </w:r>
    </w:p>
    <w:p w:rsidR="00973651" w:rsidRPr="005E7B4F" w:rsidRDefault="00973651" w:rsidP="00E43AD8">
      <w:pPr>
        <w:autoSpaceDE w:val="0"/>
        <w:autoSpaceDN w:val="0"/>
        <w:adjustRightInd w:val="0"/>
        <w:jc w:val="both"/>
        <w:rPr>
          <w:rFonts w:asciiTheme="minorHAnsi" w:hAnsiTheme="minorHAnsi" w:cs="HelveticaNeueLTStd-Lt"/>
          <w:szCs w:val="24"/>
          <w:lang w:val="en-GB"/>
        </w:rPr>
      </w:pPr>
    </w:p>
    <w:p w:rsidR="00F41101" w:rsidRPr="00F41101" w:rsidRDefault="00F41101" w:rsidP="000055FD">
      <w:pPr>
        <w:autoSpaceDE w:val="0"/>
        <w:autoSpaceDN w:val="0"/>
        <w:adjustRightInd w:val="0"/>
        <w:spacing w:after="120"/>
        <w:jc w:val="both"/>
        <w:rPr>
          <w:rFonts w:asciiTheme="minorHAnsi" w:hAnsiTheme="minorHAnsi" w:cs="HelveticaNeueLTStd-Lt"/>
          <w:b/>
          <w:szCs w:val="24"/>
          <w:lang w:val="en-GB"/>
        </w:rPr>
      </w:pPr>
      <w:r w:rsidRPr="00F41101">
        <w:rPr>
          <w:rFonts w:asciiTheme="minorHAnsi" w:hAnsiTheme="minorHAnsi" w:cs="HelveticaNeueLTStd-Lt"/>
          <w:b/>
          <w:szCs w:val="24"/>
          <w:lang w:val="en-GB"/>
        </w:rPr>
        <w:t>REVIEW OF OPERATIONS</w:t>
      </w:r>
    </w:p>
    <w:p w:rsidR="005E7B4F" w:rsidRPr="005E7B4F" w:rsidRDefault="005E7B4F" w:rsidP="00E43AD8">
      <w:pPr>
        <w:autoSpaceDE w:val="0"/>
        <w:autoSpaceDN w:val="0"/>
        <w:adjustRightInd w:val="0"/>
        <w:jc w:val="both"/>
        <w:rPr>
          <w:rFonts w:asciiTheme="minorHAnsi" w:hAnsiTheme="minorHAnsi" w:cs="HelveticaNeueLTStd-Lt"/>
          <w:b/>
          <w:szCs w:val="24"/>
          <w:lang w:val="en-GB"/>
        </w:rPr>
      </w:pPr>
      <w:proofErr w:type="spellStart"/>
      <w:r w:rsidRPr="005E7B4F">
        <w:rPr>
          <w:rFonts w:asciiTheme="minorHAnsi" w:hAnsiTheme="minorHAnsi" w:cs="HelveticaNeueLTStd-Lt"/>
          <w:b/>
          <w:szCs w:val="24"/>
          <w:lang w:val="en-GB"/>
        </w:rPr>
        <w:t>Shipbroking</w:t>
      </w:r>
      <w:proofErr w:type="spellEnd"/>
      <w:r w:rsidR="00022053">
        <w:rPr>
          <w:rFonts w:asciiTheme="minorHAnsi" w:hAnsiTheme="minorHAnsi" w:cs="HelveticaNeueLTStd-Lt"/>
          <w:b/>
          <w:szCs w:val="24"/>
          <w:lang w:val="en-GB"/>
        </w:rPr>
        <w:t xml:space="preserve"> – Braemar Sea</w:t>
      </w:r>
      <w:r w:rsidR="00824D2A">
        <w:rPr>
          <w:rFonts w:asciiTheme="minorHAnsi" w:hAnsiTheme="minorHAnsi" w:cs="HelveticaNeueLTStd-Lt"/>
          <w:b/>
          <w:szCs w:val="24"/>
          <w:lang w:val="en-GB"/>
        </w:rPr>
        <w:t>s</w:t>
      </w:r>
      <w:r w:rsidR="00022053">
        <w:rPr>
          <w:rFonts w:asciiTheme="minorHAnsi" w:hAnsiTheme="minorHAnsi" w:cs="HelveticaNeueLTStd-Lt"/>
          <w:b/>
          <w:szCs w:val="24"/>
          <w:lang w:val="en-GB"/>
        </w:rPr>
        <w:t>cope</w:t>
      </w:r>
    </w:p>
    <w:p w:rsidR="005E7B4F" w:rsidRDefault="00022053" w:rsidP="008075CA">
      <w:pPr>
        <w:autoSpaceDE w:val="0"/>
        <w:autoSpaceDN w:val="0"/>
        <w:adjustRightInd w:val="0"/>
        <w:jc w:val="both"/>
        <w:rPr>
          <w:rFonts w:asciiTheme="minorHAnsi" w:hAnsiTheme="minorHAnsi" w:cs="HelveticaNeueLTStd-Lt"/>
          <w:color w:val="000000"/>
          <w:szCs w:val="24"/>
          <w:lang w:val="en-GB"/>
        </w:rPr>
      </w:pPr>
      <w:r>
        <w:rPr>
          <w:rFonts w:asciiTheme="minorHAnsi" w:hAnsiTheme="minorHAnsi" w:cs="HelveticaNeueLTStd-Lt"/>
          <w:color w:val="000000"/>
          <w:szCs w:val="24"/>
          <w:lang w:val="en-GB"/>
        </w:rPr>
        <w:t>Braemar Sea</w:t>
      </w:r>
      <w:r w:rsidR="0053603B">
        <w:rPr>
          <w:rFonts w:asciiTheme="minorHAnsi" w:hAnsiTheme="minorHAnsi" w:cs="HelveticaNeueLTStd-Lt"/>
          <w:color w:val="000000"/>
          <w:szCs w:val="24"/>
          <w:lang w:val="en-GB"/>
        </w:rPr>
        <w:t>s</w:t>
      </w:r>
      <w:r>
        <w:rPr>
          <w:rFonts w:asciiTheme="minorHAnsi" w:hAnsiTheme="minorHAnsi" w:cs="HelveticaNeueLTStd-Lt"/>
          <w:color w:val="000000"/>
          <w:szCs w:val="24"/>
          <w:lang w:val="en-GB"/>
        </w:rPr>
        <w:t>cope</w:t>
      </w:r>
      <w:r w:rsidR="005E7B4F" w:rsidRPr="005E7B4F">
        <w:rPr>
          <w:rFonts w:asciiTheme="minorHAnsi" w:hAnsiTheme="minorHAnsi" w:cs="HelveticaNeueLTStd-Lt"/>
          <w:color w:val="000000"/>
          <w:szCs w:val="24"/>
          <w:lang w:val="en-GB"/>
        </w:rPr>
        <w:t xml:space="preserve"> has performed well in a challenging</w:t>
      </w:r>
      <w:r w:rsidR="005E7B4F">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marketplace. Revenue fell by £3.</w:t>
      </w:r>
      <w:r w:rsidR="00452DA1">
        <w:rPr>
          <w:rFonts w:asciiTheme="minorHAnsi" w:hAnsiTheme="minorHAnsi" w:cs="HelveticaNeueLTStd-Lt"/>
          <w:color w:val="000000"/>
          <w:szCs w:val="24"/>
          <w:lang w:val="en-GB"/>
        </w:rPr>
        <w:t>4</w:t>
      </w:r>
      <w:r w:rsidR="005E7B4F">
        <w:rPr>
          <w:rFonts w:asciiTheme="minorHAnsi" w:hAnsiTheme="minorHAnsi" w:cs="HelveticaNeueLTStd-Lt"/>
          <w:color w:val="000000"/>
          <w:szCs w:val="24"/>
          <w:lang w:val="en-GB"/>
        </w:rPr>
        <w:t xml:space="preserve"> m</w:t>
      </w:r>
      <w:r w:rsidR="005E7B4F" w:rsidRPr="005E7B4F">
        <w:rPr>
          <w:rFonts w:asciiTheme="minorHAnsi" w:hAnsiTheme="minorHAnsi" w:cs="HelveticaNeueLTStd-Lt"/>
          <w:color w:val="000000"/>
          <w:szCs w:val="24"/>
          <w:lang w:val="en-GB"/>
        </w:rPr>
        <w:t>illion to £46.</w:t>
      </w:r>
      <w:r w:rsidR="0053603B">
        <w:rPr>
          <w:rFonts w:asciiTheme="minorHAnsi" w:hAnsiTheme="minorHAnsi" w:cs="HelveticaNeueLTStd-Lt"/>
          <w:color w:val="000000"/>
          <w:szCs w:val="24"/>
          <w:lang w:val="en-GB"/>
        </w:rPr>
        <w:t>4</w:t>
      </w:r>
      <w:r w:rsidR="005E7B4F" w:rsidRPr="005E7B4F">
        <w:rPr>
          <w:rFonts w:asciiTheme="minorHAnsi" w:hAnsiTheme="minorHAnsi" w:cs="HelveticaNeueLTStd-Lt"/>
          <w:color w:val="000000"/>
          <w:szCs w:val="24"/>
          <w:lang w:val="en-GB"/>
        </w:rPr>
        <w:t xml:space="preserve"> million, which</w:t>
      </w:r>
      <w:r w:rsidR="005E7B4F">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 xml:space="preserve">reflects a £6 million lower forward order </w:t>
      </w:r>
      <w:r w:rsidR="00325D32">
        <w:rPr>
          <w:rFonts w:asciiTheme="minorHAnsi" w:hAnsiTheme="minorHAnsi" w:cs="HelveticaNeueLTStd-Lt"/>
          <w:color w:val="000000"/>
          <w:szCs w:val="24"/>
          <w:lang w:val="en-GB"/>
        </w:rPr>
        <w:t xml:space="preserve">book </w:t>
      </w:r>
      <w:r w:rsidR="005E7B4F" w:rsidRPr="005E7B4F">
        <w:rPr>
          <w:rFonts w:asciiTheme="minorHAnsi" w:hAnsiTheme="minorHAnsi" w:cs="HelveticaNeueLTStd-Lt"/>
          <w:color w:val="000000"/>
          <w:szCs w:val="24"/>
          <w:lang w:val="en-GB"/>
        </w:rPr>
        <w:t>brought forward into</w:t>
      </w:r>
      <w:r w:rsidR="00F41101">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2012/13</w:t>
      </w:r>
      <w:r w:rsidR="00452DA1">
        <w:rPr>
          <w:rFonts w:asciiTheme="minorHAnsi" w:hAnsiTheme="minorHAnsi" w:cs="HelveticaNeueLTStd-Lt"/>
          <w:color w:val="000000"/>
          <w:szCs w:val="24"/>
          <w:lang w:val="en-GB"/>
        </w:rPr>
        <w:t xml:space="preserve"> compared with that brought in to 2011/12, together with</w:t>
      </w:r>
      <w:r w:rsidR="005E7B4F" w:rsidRPr="005E7B4F">
        <w:rPr>
          <w:rFonts w:asciiTheme="minorHAnsi" w:hAnsiTheme="minorHAnsi" w:cs="HelveticaNeueLTStd-Lt"/>
          <w:color w:val="000000"/>
          <w:szCs w:val="24"/>
          <w:lang w:val="en-GB"/>
        </w:rPr>
        <w:t xml:space="preserve"> lower rates, offset by significantly increased spot</w:t>
      </w:r>
      <w:r w:rsidR="005E7B4F">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 xml:space="preserve">activity </w:t>
      </w:r>
      <w:r w:rsidR="008075CA">
        <w:rPr>
          <w:rFonts w:asciiTheme="minorHAnsi" w:hAnsiTheme="minorHAnsi" w:cs="HelveticaNeueLTStd-Lt"/>
          <w:color w:val="000000"/>
          <w:szCs w:val="24"/>
          <w:lang w:val="en-GB"/>
        </w:rPr>
        <w:t>and a 2.5% average strengthening of the US dollar</w:t>
      </w:r>
      <w:r w:rsidR="005E7B4F" w:rsidRPr="005E7B4F">
        <w:rPr>
          <w:rFonts w:asciiTheme="minorHAnsi" w:hAnsiTheme="minorHAnsi" w:cs="HelveticaNeueLTStd-Lt"/>
          <w:color w:val="000000"/>
          <w:szCs w:val="24"/>
          <w:lang w:val="en-GB"/>
        </w:rPr>
        <w:t>. The shipping market continues to</w:t>
      </w:r>
      <w:r w:rsidR="005E7B4F">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 xml:space="preserve">be </w:t>
      </w:r>
      <w:r w:rsidR="00452DA1">
        <w:rPr>
          <w:rFonts w:asciiTheme="minorHAnsi" w:hAnsiTheme="minorHAnsi" w:cs="HelveticaNeueLTStd-Lt"/>
          <w:color w:val="000000"/>
          <w:szCs w:val="24"/>
          <w:lang w:val="en-GB"/>
        </w:rPr>
        <w:t>affe</w:t>
      </w:r>
      <w:r w:rsidR="005E7B4F" w:rsidRPr="005E7B4F">
        <w:rPr>
          <w:rFonts w:asciiTheme="minorHAnsi" w:hAnsiTheme="minorHAnsi" w:cs="HelveticaNeueLTStd-Lt"/>
          <w:color w:val="000000"/>
          <w:szCs w:val="24"/>
          <w:lang w:val="en-GB"/>
        </w:rPr>
        <w:t>cted by over-capacity, with deliveries of new ships still</w:t>
      </w:r>
      <w:r w:rsidR="005E7B4F">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out-stripping the scrapping of old tonnage.</w:t>
      </w:r>
      <w:r w:rsidR="005E7B4F">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Over the year, surplus capacity has increased and</w:t>
      </w:r>
      <w:r w:rsidR="007B391A">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freight rates have weakened further in the major tanker and</w:t>
      </w:r>
      <w:r w:rsidR="007B391A">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dry bulk markets.</w:t>
      </w:r>
    </w:p>
    <w:p w:rsidR="007B391A" w:rsidRPr="005E7B4F" w:rsidRDefault="007B391A" w:rsidP="00E43AD8">
      <w:pPr>
        <w:autoSpaceDE w:val="0"/>
        <w:autoSpaceDN w:val="0"/>
        <w:adjustRightInd w:val="0"/>
        <w:jc w:val="both"/>
        <w:rPr>
          <w:rFonts w:asciiTheme="minorHAnsi" w:hAnsiTheme="minorHAnsi" w:cs="HelveticaNeueLTStd-Lt"/>
          <w:color w:val="000000"/>
          <w:szCs w:val="24"/>
          <w:lang w:val="en-GB"/>
        </w:rPr>
      </w:pPr>
    </w:p>
    <w:p w:rsidR="007B391A" w:rsidRDefault="005E7B4F" w:rsidP="00E43AD8">
      <w:pPr>
        <w:autoSpaceDE w:val="0"/>
        <w:autoSpaceDN w:val="0"/>
        <w:adjustRightInd w:val="0"/>
        <w:jc w:val="both"/>
        <w:rPr>
          <w:rFonts w:asciiTheme="minorHAnsi" w:hAnsiTheme="minorHAnsi" w:cs="HelveticaNeueLTStd-Lt"/>
          <w:color w:val="000000"/>
          <w:szCs w:val="24"/>
          <w:lang w:val="en-GB"/>
        </w:rPr>
      </w:pPr>
      <w:r w:rsidRPr="005E7B4F">
        <w:rPr>
          <w:rFonts w:asciiTheme="minorHAnsi" w:hAnsiTheme="minorHAnsi" w:cs="HelveticaNeueLTStd-Lt"/>
          <w:color w:val="000000"/>
          <w:szCs w:val="24"/>
          <w:lang w:val="en-GB"/>
        </w:rPr>
        <w:t>The over-supply will correct in time due to a reduced propensity</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to order new</w:t>
      </w:r>
      <w:r w:rsidR="002E74B5">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ships and an increase in scrapping. </w:t>
      </w:r>
      <w:r w:rsidR="008A115D">
        <w:rPr>
          <w:rFonts w:asciiTheme="minorHAnsi" w:hAnsiTheme="minorHAnsi" w:cs="HelveticaNeueLTStd-Lt"/>
          <w:color w:val="000000"/>
          <w:szCs w:val="24"/>
          <w:lang w:val="en-GB"/>
        </w:rPr>
        <w:t xml:space="preserve">This is a trend which is </w:t>
      </w:r>
      <w:r w:rsidRPr="005E7B4F">
        <w:rPr>
          <w:rFonts w:asciiTheme="minorHAnsi" w:hAnsiTheme="minorHAnsi" w:cs="HelveticaNeueLTStd-Lt"/>
          <w:color w:val="000000"/>
          <w:szCs w:val="24"/>
          <w:lang w:val="en-GB"/>
        </w:rPr>
        <w:t>accentuated by the shortage of available bank</w:t>
      </w:r>
      <w:r w:rsidR="00F41101">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finance</w:t>
      </w:r>
      <w:r w:rsidR="007D1C01">
        <w:rPr>
          <w:rFonts w:asciiTheme="minorHAnsi" w:hAnsiTheme="minorHAnsi" w:cs="HelveticaNeueLTStd-Lt"/>
          <w:color w:val="000000"/>
          <w:szCs w:val="24"/>
          <w:lang w:val="en-GB"/>
        </w:rPr>
        <w:t>.</w:t>
      </w:r>
    </w:p>
    <w:p w:rsidR="009E3AE5" w:rsidRPr="005E7B4F" w:rsidRDefault="009E3AE5" w:rsidP="00E43AD8">
      <w:pPr>
        <w:autoSpaceDE w:val="0"/>
        <w:autoSpaceDN w:val="0"/>
        <w:adjustRightInd w:val="0"/>
        <w:jc w:val="both"/>
        <w:rPr>
          <w:rFonts w:asciiTheme="minorHAnsi" w:hAnsiTheme="minorHAnsi" w:cs="HelveticaNeueLTStd-Lt"/>
          <w:color w:val="000000"/>
          <w:szCs w:val="24"/>
          <w:lang w:val="en-GB"/>
        </w:rPr>
      </w:pPr>
    </w:p>
    <w:p w:rsidR="007B391A" w:rsidRDefault="005E7B4F" w:rsidP="00E43AD8">
      <w:pPr>
        <w:autoSpaceDE w:val="0"/>
        <w:autoSpaceDN w:val="0"/>
        <w:adjustRightInd w:val="0"/>
        <w:jc w:val="both"/>
        <w:rPr>
          <w:rFonts w:asciiTheme="minorHAnsi" w:hAnsiTheme="minorHAnsi" w:cs="HelveticaNeueLTStd-Lt"/>
          <w:color w:val="000000"/>
          <w:szCs w:val="24"/>
          <w:lang w:val="en-GB"/>
        </w:rPr>
      </w:pPr>
      <w:r w:rsidRPr="005E7B4F">
        <w:rPr>
          <w:rFonts w:asciiTheme="minorHAnsi" w:hAnsiTheme="minorHAnsi" w:cs="HelveticaNeueLTStd-Lt"/>
          <w:color w:val="000000"/>
          <w:szCs w:val="24"/>
          <w:lang w:val="en-GB"/>
        </w:rPr>
        <w:t>As we come in to 2013/14 we estimate the forward order book</w:t>
      </w:r>
      <w:r w:rsidR="008A115D">
        <w:rPr>
          <w:rFonts w:asciiTheme="minorHAnsi" w:hAnsiTheme="minorHAnsi" w:cs="HelveticaNeueLTStd-Lt"/>
          <w:color w:val="000000"/>
          <w:szCs w:val="24"/>
          <w:lang w:val="en-GB"/>
        </w:rPr>
        <w:t xml:space="preserve"> deliverable over the next twelve months</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to be £</w:t>
      </w:r>
      <w:r w:rsidR="008075CA">
        <w:rPr>
          <w:rFonts w:asciiTheme="minorHAnsi" w:hAnsiTheme="minorHAnsi" w:cs="HelveticaNeueLTStd-Lt"/>
          <w:color w:val="000000"/>
          <w:szCs w:val="24"/>
          <w:lang w:val="en-GB"/>
        </w:rPr>
        <w:t>11</w:t>
      </w:r>
      <w:r w:rsidRPr="005E7B4F">
        <w:rPr>
          <w:rFonts w:asciiTheme="minorHAnsi" w:hAnsiTheme="minorHAnsi" w:cs="HelveticaNeueLTStd-Lt"/>
          <w:color w:val="000000"/>
          <w:szCs w:val="24"/>
          <w:lang w:val="en-GB"/>
        </w:rPr>
        <w:t xml:space="preserve"> million, compared </w:t>
      </w:r>
      <w:r w:rsidR="00452DA1">
        <w:rPr>
          <w:rFonts w:asciiTheme="minorHAnsi" w:hAnsiTheme="minorHAnsi" w:cs="HelveticaNeueLTStd-Lt"/>
          <w:color w:val="000000"/>
          <w:szCs w:val="24"/>
          <w:lang w:val="en-GB"/>
        </w:rPr>
        <w:t>with</w:t>
      </w:r>
      <w:r w:rsidRPr="005E7B4F">
        <w:rPr>
          <w:rFonts w:asciiTheme="minorHAnsi" w:hAnsiTheme="minorHAnsi" w:cs="HelveticaNeueLTStd-Lt"/>
          <w:color w:val="000000"/>
          <w:szCs w:val="24"/>
          <w:lang w:val="en-GB"/>
        </w:rPr>
        <w:t xml:space="preserve"> £19 million last year. This</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reflects the weakness of the </w:t>
      </w:r>
      <w:proofErr w:type="spellStart"/>
      <w:r w:rsidRPr="005E7B4F">
        <w:rPr>
          <w:rFonts w:asciiTheme="minorHAnsi" w:hAnsiTheme="minorHAnsi" w:cs="HelveticaNeueLTStd-Lt"/>
          <w:color w:val="000000"/>
          <w:szCs w:val="24"/>
          <w:lang w:val="en-GB"/>
        </w:rPr>
        <w:t>newbuilding</w:t>
      </w:r>
      <w:proofErr w:type="spellEnd"/>
      <w:r w:rsidRPr="005E7B4F">
        <w:rPr>
          <w:rFonts w:asciiTheme="minorHAnsi" w:hAnsiTheme="minorHAnsi" w:cs="HelveticaNeueLTStd-Lt"/>
          <w:color w:val="000000"/>
          <w:szCs w:val="24"/>
          <w:lang w:val="en-GB"/>
        </w:rPr>
        <w:t xml:space="preserve"> market and the</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relatively low volume of new time-charter business. As a result</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there is significantly increased activity in the spot market</w:t>
      </w:r>
      <w:r w:rsidR="007D1C01">
        <w:rPr>
          <w:rFonts w:asciiTheme="minorHAnsi" w:hAnsiTheme="minorHAnsi" w:cs="HelveticaNeueLTStd-Lt"/>
          <w:color w:val="000000"/>
          <w:szCs w:val="24"/>
          <w:lang w:val="en-GB"/>
        </w:rPr>
        <w:t xml:space="preserve"> where we have strong teams</w:t>
      </w:r>
      <w:r w:rsidRPr="005E7B4F">
        <w:rPr>
          <w:rFonts w:asciiTheme="minorHAnsi" w:hAnsiTheme="minorHAnsi" w:cs="HelveticaNeueLTStd-Lt"/>
          <w:color w:val="000000"/>
          <w:szCs w:val="24"/>
          <w:lang w:val="en-GB"/>
        </w:rPr>
        <w:t>.</w:t>
      </w:r>
    </w:p>
    <w:p w:rsidR="007B391A" w:rsidRDefault="007B391A" w:rsidP="00E43AD8">
      <w:pPr>
        <w:autoSpaceDE w:val="0"/>
        <w:autoSpaceDN w:val="0"/>
        <w:adjustRightInd w:val="0"/>
        <w:jc w:val="both"/>
        <w:rPr>
          <w:rFonts w:asciiTheme="minorHAnsi" w:hAnsiTheme="minorHAnsi" w:cs="HelveticaNeueLTStd-Lt"/>
          <w:color w:val="000000"/>
          <w:szCs w:val="24"/>
          <w:lang w:val="en-GB"/>
        </w:rPr>
      </w:pPr>
    </w:p>
    <w:p w:rsidR="005E7B4F" w:rsidRPr="00F41101" w:rsidRDefault="005E7B4F" w:rsidP="00E43AD8">
      <w:pPr>
        <w:autoSpaceDE w:val="0"/>
        <w:autoSpaceDN w:val="0"/>
        <w:adjustRightInd w:val="0"/>
        <w:jc w:val="both"/>
        <w:rPr>
          <w:rFonts w:asciiTheme="minorHAnsi" w:hAnsiTheme="minorHAnsi" w:cs="HelveticaNeueLTStd-Bd"/>
          <w:b/>
          <w:i/>
          <w:color w:val="000000"/>
          <w:szCs w:val="24"/>
          <w:lang w:val="en-GB"/>
        </w:rPr>
      </w:pPr>
      <w:r w:rsidRPr="00F41101">
        <w:rPr>
          <w:rFonts w:asciiTheme="minorHAnsi" w:hAnsiTheme="minorHAnsi" w:cs="HelveticaNeueLTStd-Bd"/>
          <w:b/>
          <w:i/>
          <w:color w:val="000000"/>
          <w:szCs w:val="24"/>
          <w:lang w:val="en-GB"/>
        </w:rPr>
        <w:t>Dry Bulk</w:t>
      </w:r>
    </w:p>
    <w:p w:rsidR="005E7B4F" w:rsidRDefault="005E7B4F" w:rsidP="00E43AD8">
      <w:pPr>
        <w:autoSpaceDE w:val="0"/>
        <w:autoSpaceDN w:val="0"/>
        <w:adjustRightInd w:val="0"/>
        <w:jc w:val="both"/>
        <w:rPr>
          <w:rFonts w:asciiTheme="minorHAnsi" w:hAnsiTheme="minorHAnsi" w:cs="HelveticaNeueLTStd-Lt"/>
          <w:color w:val="000000"/>
          <w:szCs w:val="24"/>
          <w:lang w:val="en-GB"/>
        </w:rPr>
      </w:pPr>
      <w:r w:rsidRPr="005E7B4F">
        <w:rPr>
          <w:rFonts w:asciiTheme="minorHAnsi" w:hAnsiTheme="minorHAnsi" w:cs="HelveticaNeueLTStd-Lt"/>
          <w:color w:val="000000"/>
          <w:szCs w:val="24"/>
          <w:lang w:val="en-GB"/>
        </w:rPr>
        <w:t xml:space="preserve">Growth in dry bulk seaborne trade continues its </w:t>
      </w:r>
      <w:r w:rsidR="00452DA1">
        <w:rPr>
          <w:rFonts w:asciiTheme="minorHAnsi" w:hAnsiTheme="minorHAnsi" w:cs="HelveticaNeueLTStd-Lt"/>
          <w:color w:val="000000"/>
          <w:szCs w:val="24"/>
          <w:lang w:val="en-GB"/>
        </w:rPr>
        <w:t xml:space="preserve">slow but </w:t>
      </w:r>
      <w:r w:rsidRPr="005E7B4F">
        <w:rPr>
          <w:rFonts w:asciiTheme="minorHAnsi" w:hAnsiTheme="minorHAnsi" w:cs="HelveticaNeueLTStd-Lt"/>
          <w:color w:val="000000"/>
          <w:szCs w:val="24"/>
          <w:lang w:val="en-GB"/>
        </w:rPr>
        <w:t>steady</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recovery. For </w:t>
      </w:r>
      <w:r w:rsidR="00452DA1">
        <w:rPr>
          <w:rFonts w:asciiTheme="minorHAnsi" w:hAnsiTheme="minorHAnsi" w:cs="HelveticaNeueLTStd-Lt"/>
          <w:color w:val="000000"/>
          <w:szCs w:val="24"/>
          <w:lang w:val="en-GB"/>
        </w:rPr>
        <w:t xml:space="preserve">the </w:t>
      </w:r>
      <w:r w:rsidRPr="005E7B4F">
        <w:rPr>
          <w:rFonts w:asciiTheme="minorHAnsi" w:hAnsiTheme="minorHAnsi" w:cs="HelveticaNeueLTStd-Lt"/>
          <w:color w:val="000000"/>
          <w:szCs w:val="24"/>
          <w:lang w:val="en-GB"/>
        </w:rPr>
        <w:t xml:space="preserve">calendar year 2012 it </w:t>
      </w:r>
      <w:r w:rsidR="008A115D">
        <w:rPr>
          <w:rFonts w:asciiTheme="minorHAnsi" w:hAnsiTheme="minorHAnsi" w:cs="HelveticaNeueLTStd-Lt"/>
          <w:color w:val="000000"/>
          <w:szCs w:val="24"/>
          <w:lang w:val="en-GB"/>
        </w:rPr>
        <w:t>increased by</w:t>
      </w:r>
      <w:r w:rsidRPr="005E7B4F">
        <w:rPr>
          <w:rFonts w:asciiTheme="minorHAnsi" w:hAnsiTheme="minorHAnsi" w:cs="HelveticaNeueLTStd-Lt"/>
          <w:color w:val="000000"/>
          <w:szCs w:val="24"/>
          <w:lang w:val="en-GB"/>
        </w:rPr>
        <w:t xml:space="preserve"> 4.4% compared</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with 4.3% in 2011; </w:t>
      </w:r>
      <w:r w:rsidR="00452DA1">
        <w:rPr>
          <w:rFonts w:asciiTheme="minorHAnsi" w:hAnsiTheme="minorHAnsi" w:cs="HelveticaNeueLTStd-Lt"/>
          <w:color w:val="000000"/>
          <w:szCs w:val="24"/>
          <w:lang w:val="en-GB"/>
        </w:rPr>
        <w:t>we expect this</w:t>
      </w:r>
      <w:r w:rsidRPr="005E7B4F">
        <w:rPr>
          <w:rFonts w:asciiTheme="minorHAnsi" w:hAnsiTheme="minorHAnsi" w:cs="HelveticaNeueLTStd-Lt"/>
          <w:color w:val="000000"/>
          <w:szCs w:val="24"/>
          <w:lang w:val="en-GB"/>
        </w:rPr>
        <w:t xml:space="preserve"> improving trend </w:t>
      </w:r>
      <w:r w:rsidR="008A115D">
        <w:rPr>
          <w:rFonts w:asciiTheme="minorHAnsi" w:hAnsiTheme="minorHAnsi" w:cs="HelveticaNeueLTStd-Lt"/>
          <w:color w:val="000000"/>
          <w:szCs w:val="24"/>
          <w:lang w:val="en-GB"/>
        </w:rPr>
        <w:t>will</w:t>
      </w:r>
      <w:r w:rsidRPr="005E7B4F">
        <w:rPr>
          <w:rFonts w:asciiTheme="minorHAnsi" w:hAnsiTheme="minorHAnsi" w:cs="HelveticaNeueLTStd-Lt"/>
          <w:color w:val="000000"/>
          <w:szCs w:val="24"/>
          <w:lang w:val="en-GB"/>
        </w:rPr>
        <w:t xml:space="preserve"> continue</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into 2013. The rate of growth is affected by the pace of</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industrialisation and urbanisation of the emerging economies</w:t>
      </w:r>
      <w:r w:rsidR="007238D6">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and the price of global commodities, which have both acted to</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maintain the rate of growth in the </w:t>
      </w:r>
      <w:r w:rsidR="00452DA1">
        <w:rPr>
          <w:rFonts w:asciiTheme="minorHAnsi" w:hAnsiTheme="minorHAnsi" w:cs="HelveticaNeueLTStd-Lt"/>
          <w:color w:val="000000"/>
          <w:szCs w:val="24"/>
          <w:lang w:val="en-GB"/>
        </w:rPr>
        <w:t>p</w:t>
      </w:r>
      <w:r w:rsidRPr="005E7B4F">
        <w:rPr>
          <w:rFonts w:asciiTheme="minorHAnsi" w:hAnsiTheme="minorHAnsi" w:cs="HelveticaNeueLTStd-Lt"/>
          <w:color w:val="000000"/>
          <w:szCs w:val="24"/>
          <w:lang w:val="en-GB"/>
        </w:rPr>
        <w:t>ast few years. However, the</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total amount of trade is still smaller than anticipated before the</w:t>
      </w:r>
      <w:r w:rsidR="00F41101">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recession, while bulk carriers that were ordered to meet those</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higher anticipated levels of demand continue to be delivered.</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In the year to December 2012 the bulk carrier fleet grew by</w:t>
      </w:r>
      <w:r w:rsidR="00F41101">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10%, after 13% growth in 2011</w:t>
      </w:r>
      <w:r w:rsidR="00452DA1">
        <w:rPr>
          <w:rFonts w:asciiTheme="minorHAnsi" w:hAnsiTheme="minorHAnsi" w:cs="HelveticaNeueLTStd-Lt"/>
          <w:color w:val="000000"/>
          <w:szCs w:val="24"/>
          <w:lang w:val="en-GB"/>
        </w:rPr>
        <w:t xml:space="preserve"> and</w:t>
      </w:r>
      <w:r w:rsidR="007238D6">
        <w:rPr>
          <w:rFonts w:asciiTheme="minorHAnsi" w:hAnsiTheme="minorHAnsi" w:cs="HelveticaNeueLTStd-Lt"/>
          <w:color w:val="000000"/>
          <w:szCs w:val="24"/>
          <w:lang w:val="en-GB"/>
        </w:rPr>
        <w:t xml:space="preserve"> is</w:t>
      </w:r>
      <w:r w:rsidRPr="005E7B4F">
        <w:rPr>
          <w:rFonts w:asciiTheme="minorHAnsi" w:hAnsiTheme="minorHAnsi" w:cs="HelveticaNeueLTStd-Lt"/>
          <w:color w:val="000000"/>
          <w:szCs w:val="24"/>
          <w:lang w:val="en-GB"/>
        </w:rPr>
        <w:t xml:space="preserve"> expected to </w:t>
      </w:r>
      <w:r w:rsidR="003E33DC">
        <w:rPr>
          <w:rFonts w:asciiTheme="minorHAnsi" w:hAnsiTheme="minorHAnsi" w:cs="HelveticaNeueLTStd-Lt"/>
          <w:color w:val="000000"/>
          <w:szCs w:val="24"/>
          <w:lang w:val="en-GB"/>
        </w:rPr>
        <w:t xml:space="preserve">reduce to </w:t>
      </w:r>
      <w:r w:rsidRPr="005E7B4F">
        <w:rPr>
          <w:rFonts w:asciiTheme="minorHAnsi" w:hAnsiTheme="minorHAnsi" w:cs="HelveticaNeueLTStd-Lt"/>
          <w:color w:val="000000"/>
          <w:szCs w:val="24"/>
          <w:lang w:val="en-GB"/>
        </w:rPr>
        <w:t>8% in 2013</w:t>
      </w:r>
      <w:r w:rsidR="00452DA1">
        <w:rPr>
          <w:rFonts w:asciiTheme="minorHAnsi" w:hAnsiTheme="minorHAnsi" w:cs="HelveticaNeueLTStd-Lt"/>
          <w:color w:val="000000"/>
          <w:szCs w:val="24"/>
          <w:lang w:val="en-GB"/>
        </w:rPr>
        <w:t>.</w:t>
      </w:r>
      <w:r w:rsidRPr="005E7B4F">
        <w:rPr>
          <w:rFonts w:asciiTheme="minorHAnsi" w:hAnsiTheme="minorHAnsi" w:cs="HelveticaNeueLTStd-Lt"/>
          <w:color w:val="000000"/>
          <w:szCs w:val="24"/>
          <w:lang w:val="en-GB"/>
        </w:rPr>
        <w:t xml:space="preserve"> </w:t>
      </w:r>
    </w:p>
    <w:p w:rsidR="007B391A" w:rsidRPr="005E7B4F" w:rsidRDefault="007B391A" w:rsidP="00E43AD8">
      <w:pPr>
        <w:autoSpaceDE w:val="0"/>
        <w:autoSpaceDN w:val="0"/>
        <w:adjustRightInd w:val="0"/>
        <w:jc w:val="both"/>
        <w:rPr>
          <w:rFonts w:asciiTheme="minorHAnsi" w:hAnsiTheme="minorHAnsi" w:cs="HelveticaNeueLTStd-Lt"/>
          <w:color w:val="000000"/>
          <w:szCs w:val="24"/>
          <w:lang w:val="en-GB"/>
        </w:rPr>
      </w:pPr>
    </w:p>
    <w:p w:rsidR="005E7B4F" w:rsidRDefault="005E7B4F" w:rsidP="00E43AD8">
      <w:pPr>
        <w:autoSpaceDE w:val="0"/>
        <w:autoSpaceDN w:val="0"/>
        <w:adjustRightInd w:val="0"/>
        <w:jc w:val="both"/>
        <w:rPr>
          <w:rFonts w:asciiTheme="minorHAnsi" w:hAnsiTheme="minorHAnsi" w:cs="HelveticaNeueLTStd-Lt"/>
          <w:color w:val="000000"/>
          <w:szCs w:val="24"/>
          <w:lang w:val="en-GB"/>
        </w:rPr>
      </w:pPr>
      <w:r w:rsidRPr="005E7B4F">
        <w:rPr>
          <w:rFonts w:asciiTheme="minorHAnsi" w:hAnsiTheme="minorHAnsi" w:cs="HelveticaNeueLTStd-Lt"/>
          <w:color w:val="000000"/>
          <w:szCs w:val="24"/>
          <w:lang w:val="en-GB"/>
        </w:rPr>
        <w:t xml:space="preserve">This overcapacity in the fleet has driven down </w:t>
      </w:r>
      <w:r w:rsidR="007238D6">
        <w:rPr>
          <w:rFonts w:asciiTheme="minorHAnsi" w:hAnsiTheme="minorHAnsi" w:cs="HelveticaNeueLTStd-Lt"/>
          <w:color w:val="000000"/>
          <w:szCs w:val="24"/>
          <w:lang w:val="en-GB"/>
        </w:rPr>
        <w:t>freight rates</w:t>
      </w:r>
      <w:r w:rsidRPr="005E7B4F">
        <w:rPr>
          <w:rFonts w:asciiTheme="minorHAnsi" w:hAnsiTheme="minorHAnsi" w:cs="HelveticaNeueLTStd-Lt"/>
          <w:color w:val="000000"/>
          <w:szCs w:val="24"/>
          <w:lang w:val="en-GB"/>
        </w:rPr>
        <w:t xml:space="preserve">. </w:t>
      </w:r>
      <w:r w:rsidR="00C8110A">
        <w:rPr>
          <w:rFonts w:asciiTheme="minorHAnsi" w:hAnsiTheme="minorHAnsi" w:cs="HelveticaNeueLTStd-Lt"/>
          <w:color w:val="000000"/>
          <w:szCs w:val="24"/>
          <w:lang w:val="en-GB"/>
        </w:rPr>
        <w:t>Against this backdrop o</w:t>
      </w:r>
      <w:r w:rsidRPr="005E7B4F">
        <w:rPr>
          <w:rFonts w:asciiTheme="minorHAnsi" w:hAnsiTheme="minorHAnsi" w:cs="HelveticaNeueLTStd-Lt"/>
          <w:color w:val="000000"/>
          <w:szCs w:val="24"/>
          <w:lang w:val="en-GB"/>
        </w:rPr>
        <w:t xml:space="preserve">ur offices in </w:t>
      </w:r>
      <w:r w:rsidR="007D1C01">
        <w:rPr>
          <w:rFonts w:asciiTheme="minorHAnsi" w:hAnsiTheme="minorHAnsi" w:cs="HelveticaNeueLTStd-Lt"/>
          <w:color w:val="000000"/>
          <w:szCs w:val="24"/>
          <w:lang w:val="en-GB"/>
        </w:rPr>
        <w:t xml:space="preserve">Asia and </w:t>
      </w:r>
      <w:r w:rsidRPr="005E7B4F">
        <w:rPr>
          <w:rFonts w:asciiTheme="minorHAnsi" w:hAnsiTheme="minorHAnsi" w:cs="HelveticaNeueLTStd-Lt"/>
          <w:color w:val="000000"/>
          <w:szCs w:val="24"/>
          <w:lang w:val="en-GB"/>
        </w:rPr>
        <w:t>Australia performed</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well, benefiting from a greater focus</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on the </w:t>
      </w:r>
      <w:r w:rsidR="007D1C01">
        <w:rPr>
          <w:rFonts w:asciiTheme="minorHAnsi" w:hAnsiTheme="minorHAnsi" w:cs="HelveticaNeueLTStd-Lt"/>
          <w:color w:val="000000"/>
          <w:szCs w:val="24"/>
          <w:lang w:val="en-GB"/>
        </w:rPr>
        <w:t>shift of trade to the East</w:t>
      </w:r>
      <w:r w:rsidRPr="005E7B4F">
        <w:rPr>
          <w:rFonts w:asciiTheme="minorHAnsi" w:hAnsiTheme="minorHAnsi" w:cs="HelveticaNeueLTStd-Lt"/>
          <w:color w:val="000000"/>
          <w:szCs w:val="24"/>
          <w:lang w:val="en-GB"/>
        </w:rPr>
        <w:t>.</w:t>
      </w:r>
    </w:p>
    <w:p w:rsidR="00CB52DB" w:rsidRPr="005E7B4F" w:rsidRDefault="00CB52DB" w:rsidP="00E43AD8">
      <w:pPr>
        <w:autoSpaceDE w:val="0"/>
        <w:autoSpaceDN w:val="0"/>
        <w:adjustRightInd w:val="0"/>
        <w:jc w:val="both"/>
        <w:rPr>
          <w:rFonts w:asciiTheme="minorHAnsi" w:hAnsiTheme="minorHAnsi" w:cs="HelveticaNeueLTStd-Lt"/>
          <w:color w:val="000000"/>
          <w:szCs w:val="24"/>
          <w:lang w:val="en-GB"/>
        </w:rPr>
      </w:pPr>
    </w:p>
    <w:p w:rsidR="005E7B4F" w:rsidRPr="00F41101" w:rsidRDefault="005E7B4F" w:rsidP="00E43AD8">
      <w:pPr>
        <w:autoSpaceDE w:val="0"/>
        <w:autoSpaceDN w:val="0"/>
        <w:adjustRightInd w:val="0"/>
        <w:jc w:val="both"/>
        <w:rPr>
          <w:rFonts w:asciiTheme="minorHAnsi" w:hAnsiTheme="minorHAnsi" w:cs="HelveticaNeueLTStd-Bd"/>
          <w:b/>
          <w:i/>
          <w:color w:val="000000"/>
          <w:szCs w:val="24"/>
          <w:lang w:val="en-GB"/>
        </w:rPr>
      </w:pPr>
      <w:r w:rsidRPr="00F41101">
        <w:rPr>
          <w:rFonts w:asciiTheme="minorHAnsi" w:hAnsiTheme="minorHAnsi" w:cs="HelveticaNeueLTStd-Bd"/>
          <w:b/>
          <w:i/>
          <w:color w:val="000000"/>
          <w:szCs w:val="24"/>
          <w:lang w:val="en-GB"/>
        </w:rPr>
        <w:t>Deep Sea Tankers</w:t>
      </w:r>
    </w:p>
    <w:p w:rsidR="005E7B4F" w:rsidRPr="005E7B4F" w:rsidRDefault="005E7B4F"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color w:val="000000"/>
          <w:szCs w:val="24"/>
          <w:lang w:val="en-GB"/>
        </w:rPr>
        <w:t xml:space="preserve">The freight market for </w:t>
      </w:r>
      <w:r w:rsidR="007D1C01">
        <w:rPr>
          <w:rFonts w:asciiTheme="minorHAnsi" w:hAnsiTheme="minorHAnsi" w:cs="HelveticaNeueLTStd-Lt"/>
          <w:color w:val="000000"/>
          <w:szCs w:val="24"/>
          <w:lang w:val="en-GB"/>
        </w:rPr>
        <w:t xml:space="preserve">crude </w:t>
      </w:r>
      <w:r w:rsidRPr="005E7B4F">
        <w:rPr>
          <w:rFonts w:asciiTheme="minorHAnsi" w:hAnsiTheme="minorHAnsi" w:cs="HelveticaNeueLTStd-Lt"/>
          <w:color w:val="000000"/>
          <w:szCs w:val="24"/>
          <w:lang w:val="en-GB"/>
        </w:rPr>
        <w:t xml:space="preserve">tankers </w:t>
      </w:r>
      <w:r w:rsidR="007D1C01">
        <w:rPr>
          <w:rFonts w:asciiTheme="minorHAnsi" w:hAnsiTheme="minorHAnsi" w:cs="HelveticaNeueLTStd-Lt"/>
          <w:color w:val="000000"/>
          <w:szCs w:val="24"/>
          <w:lang w:val="en-GB"/>
        </w:rPr>
        <w:t>is at</w:t>
      </w:r>
      <w:r w:rsidRPr="005E7B4F">
        <w:rPr>
          <w:rFonts w:asciiTheme="minorHAnsi" w:hAnsiTheme="minorHAnsi" w:cs="HelveticaNeueLTStd-Lt"/>
          <w:color w:val="000000"/>
          <w:szCs w:val="24"/>
          <w:lang w:val="en-GB"/>
        </w:rPr>
        <w:t xml:space="preserve"> </w:t>
      </w:r>
      <w:r w:rsidR="007D1C01">
        <w:rPr>
          <w:rFonts w:asciiTheme="minorHAnsi" w:hAnsiTheme="minorHAnsi" w:cs="HelveticaNeueLTStd-Lt"/>
          <w:color w:val="000000"/>
          <w:szCs w:val="24"/>
          <w:lang w:val="en-GB"/>
        </w:rPr>
        <w:t>its lowest point</w:t>
      </w:r>
      <w:r w:rsidRPr="005E7B4F">
        <w:rPr>
          <w:rFonts w:asciiTheme="minorHAnsi" w:hAnsiTheme="minorHAnsi" w:cs="HelveticaNeueLTStd-Lt"/>
          <w:color w:val="000000"/>
          <w:szCs w:val="24"/>
          <w:lang w:val="en-GB"/>
        </w:rPr>
        <w:t xml:space="preserve"> and</w:t>
      </w:r>
      <w:r w:rsidR="007D1C01">
        <w:rPr>
          <w:rFonts w:asciiTheme="minorHAnsi" w:hAnsiTheme="minorHAnsi" w:cs="HelveticaNeueLTStd-Lt"/>
          <w:color w:val="000000"/>
          <w:szCs w:val="24"/>
          <w:lang w:val="en-GB"/>
        </w:rPr>
        <w:t xml:space="preserve"> the product tanker market is fluctuating around break</w:t>
      </w:r>
      <w:r w:rsidR="00A54B2E">
        <w:rPr>
          <w:rFonts w:asciiTheme="minorHAnsi" w:hAnsiTheme="minorHAnsi" w:cs="HelveticaNeueLTStd-Lt"/>
          <w:color w:val="000000"/>
          <w:szCs w:val="24"/>
          <w:lang w:val="en-GB"/>
        </w:rPr>
        <w:t>-</w:t>
      </w:r>
      <w:r w:rsidR="007D1C01">
        <w:rPr>
          <w:rFonts w:asciiTheme="minorHAnsi" w:hAnsiTheme="minorHAnsi" w:cs="HelveticaNeueLTStd-Lt"/>
          <w:color w:val="000000"/>
          <w:szCs w:val="24"/>
          <w:lang w:val="en-GB"/>
        </w:rPr>
        <w:t>even levels.</w:t>
      </w:r>
      <w:r w:rsidRPr="005E7B4F">
        <w:rPr>
          <w:rFonts w:asciiTheme="minorHAnsi" w:hAnsiTheme="minorHAnsi" w:cs="HelveticaNeueLTStd-Lt"/>
          <w:color w:val="000000"/>
          <w:szCs w:val="24"/>
          <w:lang w:val="en-GB"/>
        </w:rPr>
        <w:t xml:space="preserve"> Spot market</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rates, as</w:t>
      </w:r>
      <w:r w:rsidR="00C8110A">
        <w:rPr>
          <w:rFonts w:asciiTheme="minorHAnsi" w:hAnsiTheme="minorHAnsi" w:cs="HelveticaNeueLTStd-Lt"/>
          <w:color w:val="000000"/>
          <w:szCs w:val="24"/>
          <w:lang w:val="en-GB"/>
        </w:rPr>
        <w:t xml:space="preserve"> measured</w:t>
      </w:r>
      <w:r w:rsidRPr="005E7B4F">
        <w:rPr>
          <w:rFonts w:asciiTheme="minorHAnsi" w:hAnsiTheme="minorHAnsi" w:cs="HelveticaNeueLTStd-Lt"/>
          <w:color w:val="000000"/>
          <w:szCs w:val="24"/>
          <w:lang w:val="en-GB"/>
        </w:rPr>
        <w:t xml:space="preserve"> by the Baltic Dirty and Clean </w:t>
      </w:r>
      <w:r w:rsidRPr="005E7B4F">
        <w:rPr>
          <w:rFonts w:asciiTheme="minorHAnsi" w:hAnsiTheme="minorHAnsi" w:cs="HelveticaNeueLTStd-Lt"/>
          <w:color w:val="000000"/>
          <w:szCs w:val="24"/>
          <w:lang w:val="en-GB"/>
        </w:rPr>
        <w:lastRenderedPageBreak/>
        <w:t>Indices,</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displayed their usual seasonality with a weak second and third</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quarter followed by a fourth quarter rally. This rally was lower</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than anticipated and insufficient in 2012 for </w:t>
      </w:r>
      <w:r w:rsidR="007D1C01">
        <w:rPr>
          <w:rFonts w:asciiTheme="minorHAnsi" w:hAnsiTheme="minorHAnsi" w:cs="HelveticaNeueLTStd-Lt"/>
          <w:color w:val="000000"/>
          <w:szCs w:val="24"/>
          <w:lang w:val="en-GB"/>
        </w:rPr>
        <w:t>many</w:t>
      </w:r>
      <w:r w:rsidR="007D1C01" w:rsidRPr="005E7B4F">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owners to</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cover </w:t>
      </w:r>
      <w:r w:rsidR="007D1C01">
        <w:rPr>
          <w:rFonts w:asciiTheme="minorHAnsi" w:hAnsiTheme="minorHAnsi" w:cs="HelveticaNeueLTStd-Lt"/>
          <w:color w:val="000000"/>
          <w:szCs w:val="24"/>
          <w:lang w:val="en-GB"/>
        </w:rPr>
        <w:t xml:space="preserve">their </w:t>
      </w:r>
      <w:r w:rsidRPr="005E7B4F">
        <w:rPr>
          <w:rFonts w:asciiTheme="minorHAnsi" w:hAnsiTheme="minorHAnsi" w:cs="HelveticaNeueLTStd-Lt"/>
          <w:color w:val="000000"/>
          <w:szCs w:val="24"/>
          <w:lang w:val="en-GB"/>
        </w:rPr>
        <w:t>costs</w:t>
      </w:r>
      <w:r w:rsidR="007D1C01">
        <w:rPr>
          <w:rFonts w:asciiTheme="minorHAnsi" w:hAnsiTheme="minorHAnsi" w:cs="HelveticaNeueLTStd-Lt"/>
          <w:color w:val="000000"/>
          <w:szCs w:val="24"/>
          <w:lang w:val="en-GB"/>
        </w:rPr>
        <w:t xml:space="preserve"> for the year.</w:t>
      </w:r>
      <w:r w:rsidR="00A54B2E">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The pattern of trade is changing with </w:t>
      </w:r>
      <w:r w:rsidR="007B391A">
        <w:rPr>
          <w:rFonts w:asciiTheme="minorHAnsi" w:hAnsiTheme="minorHAnsi" w:cs="HelveticaNeueLTStd-Lt"/>
          <w:color w:val="000000"/>
          <w:szCs w:val="24"/>
          <w:lang w:val="en-GB"/>
        </w:rPr>
        <w:t>i</w:t>
      </w:r>
      <w:r w:rsidRPr="005E7B4F">
        <w:rPr>
          <w:rFonts w:asciiTheme="minorHAnsi" w:hAnsiTheme="minorHAnsi" w:cs="HelveticaNeueLTStd-Lt"/>
          <w:color w:val="000000"/>
          <w:szCs w:val="24"/>
          <w:lang w:val="en-GB"/>
        </w:rPr>
        <w:t>ncreased</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energy self-sufficiency of </w:t>
      </w:r>
      <w:r w:rsidR="00A54B2E">
        <w:rPr>
          <w:rFonts w:asciiTheme="minorHAnsi" w:hAnsiTheme="minorHAnsi" w:cs="HelveticaNeueLTStd-Lt"/>
          <w:color w:val="000000"/>
          <w:szCs w:val="24"/>
          <w:lang w:val="en-GB"/>
        </w:rPr>
        <w:t xml:space="preserve">the </w:t>
      </w:r>
      <w:r w:rsidRPr="005E7B4F">
        <w:rPr>
          <w:rFonts w:asciiTheme="minorHAnsi" w:hAnsiTheme="minorHAnsi" w:cs="HelveticaNeueLTStd-Lt"/>
          <w:color w:val="000000"/>
          <w:szCs w:val="24"/>
          <w:lang w:val="en-GB"/>
        </w:rPr>
        <w:t>US and rising consumption of</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crude oil in the Far East, which is increasingly being served by</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new refineries in the region</w:t>
      </w:r>
      <w:r w:rsidR="007D1C01">
        <w:rPr>
          <w:rFonts w:asciiTheme="minorHAnsi" w:hAnsiTheme="minorHAnsi" w:cs="HelveticaNeueLTStd-Lt"/>
          <w:color w:val="000000"/>
          <w:szCs w:val="24"/>
          <w:lang w:val="en-GB"/>
        </w:rPr>
        <w:t xml:space="preserve"> resulting in an increase in seaborne distribution of </w:t>
      </w:r>
      <w:r w:rsidR="005A2625">
        <w:rPr>
          <w:rFonts w:asciiTheme="minorHAnsi" w:hAnsiTheme="minorHAnsi" w:cs="HelveticaNeueLTStd-Lt"/>
          <w:color w:val="000000"/>
          <w:szCs w:val="24"/>
          <w:lang w:val="en-GB"/>
        </w:rPr>
        <w:t xml:space="preserve">refined </w:t>
      </w:r>
      <w:r w:rsidR="007D1C01">
        <w:rPr>
          <w:rFonts w:asciiTheme="minorHAnsi" w:hAnsiTheme="minorHAnsi" w:cs="HelveticaNeueLTStd-Lt"/>
          <w:color w:val="000000"/>
          <w:szCs w:val="24"/>
          <w:lang w:val="en-GB"/>
        </w:rPr>
        <w:t>products</w:t>
      </w:r>
      <w:r w:rsidRPr="005E7B4F">
        <w:rPr>
          <w:rFonts w:asciiTheme="minorHAnsi" w:hAnsiTheme="minorHAnsi" w:cs="HelveticaNeueLTStd-Lt"/>
          <w:color w:val="000000"/>
          <w:szCs w:val="24"/>
          <w:lang w:val="en-GB"/>
        </w:rPr>
        <w:t xml:space="preserve">. The market </w:t>
      </w:r>
      <w:r w:rsidR="007D1C01">
        <w:rPr>
          <w:rFonts w:asciiTheme="minorHAnsi" w:hAnsiTheme="minorHAnsi" w:cs="HelveticaNeueLTStd-Lt"/>
          <w:color w:val="000000"/>
          <w:szCs w:val="24"/>
          <w:lang w:val="en-GB"/>
        </w:rPr>
        <w:t>remains</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over-supplied and this is now being added to by selective</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ordering of new technology tankers, which </w:t>
      </w:r>
      <w:r w:rsidR="007D1C01">
        <w:rPr>
          <w:rFonts w:asciiTheme="minorHAnsi" w:hAnsiTheme="minorHAnsi" w:cs="HelveticaNeueLTStd-Lt"/>
          <w:color w:val="000000"/>
          <w:szCs w:val="24"/>
          <w:lang w:val="en-GB"/>
        </w:rPr>
        <w:t xml:space="preserve">will be more economical to run and </w:t>
      </w:r>
      <w:r w:rsidRPr="005E7B4F">
        <w:rPr>
          <w:rFonts w:asciiTheme="minorHAnsi" w:hAnsiTheme="minorHAnsi" w:cs="HelveticaNeueLTStd-Lt"/>
          <w:color w:val="000000"/>
          <w:szCs w:val="24"/>
          <w:lang w:val="en-GB"/>
        </w:rPr>
        <w:t xml:space="preserve">have </w:t>
      </w:r>
      <w:r w:rsidR="007D1C01">
        <w:rPr>
          <w:rFonts w:asciiTheme="minorHAnsi" w:hAnsiTheme="minorHAnsi" w:cs="HelveticaNeueLTStd-Lt"/>
          <w:color w:val="000000"/>
          <w:szCs w:val="24"/>
          <w:lang w:val="en-GB"/>
        </w:rPr>
        <w:t xml:space="preserve">reduced </w:t>
      </w:r>
      <w:r w:rsidRPr="005E7B4F">
        <w:rPr>
          <w:rFonts w:asciiTheme="minorHAnsi" w:hAnsiTheme="minorHAnsi" w:cs="HelveticaNeueLTStd-Lt"/>
          <w:color w:val="000000"/>
          <w:szCs w:val="24"/>
          <w:lang w:val="en-GB"/>
        </w:rPr>
        <w:t>environmental impac</w:t>
      </w:r>
      <w:r w:rsidR="00A54B2E">
        <w:rPr>
          <w:rFonts w:asciiTheme="minorHAnsi" w:hAnsiTheme="minorHAnsi" w:cs="HelveticaNeueLTStd-Lt"/>
          <w:color w:val="000000"/>
          <w:szCs w:val="24"/>
          <w:lang w:val="en-GB"/>
        </w:rPr>
        <w:t>t</w:t>
      </w:r>
      <w:r w:rsidRPr="005E7B4F">
        <w:rPr>
          <w:rFonts w:asciiTheme="minorHAnsi" w:hAnsiTheme="minorHAnsi" w:cs="HelveticaNeueLTStd-Lt"/>
          <w:color w:val="000000"/>
          <w:szCs w:val="24"/>
          <w:lang w:val="en-GB"/>
        </w:rPr>
        <w:t>.</w:t>
      </w:r>
    </w:p>
    <w:p w:rsidR="005E7B4F" w:rsidRPr="005E7B4F" w:rsidRDefault="005E7B4F" w:rsidP="00E43AD8">
      <w:pPr>
        <w:autoSpaceDE w:val="0"/>
        <w:autoSpaceDN w:val="0"/>
        <w:adjustRightInd w:val="0"/>
        <w:jc w:val="both"/>
        <w:rPr>
          <w:rFonts w:asciiTheme="minorHAnsi" w:hAnsiTheme="minorHAnsi" w:cs="HelveticaNeueLTStd-Lt"/>
          <w:szCs w:val="24"/>
          <w:lang w:val="en-GB"/>
        </w:rPr>
      </w:pPr>
    </w:p>
    <w:p w:rsidR="007B391A" w:rsidRDefault="007D1C01" w:rsidP="00E43AD8">
      <w:pPr>
        <w:autoSpaceDE w:val="0"/>
        <w:autoSpaceDN w:val="0"/>
        <w:adjustRightInd w:val="0"/>
        <w:jc w:val="both"/>
        <w:rPr>
          <w:rFonts w:asciiTheme="minorHAnsi" w:hAnsiTheme="minorHAnsi" w:cs="HelveticaNeueLTStd-Lt"/>
          <w:color w:val="000000"/>
          <w:szCs w:val="24"/>
          <w:lang w:val="en-GB"/>
        </w:rPr>
      </w:pPr>
      <w:r>
        <w:rPr>
          <w:rFonts w:asciiTheme="minorHAnsi" w:hAnsiTheme="minorHAnsi" w:cs="HelveticaNeueLTStd-Lt"/>
          <w:color w:val="000000"/>
          <w:szCs w:val="24"/>
          <w:lang w:val="en-GB"/>
        </w:rPr>
        <w:t>T</w:t>
      </w:r>
      <w:r w:rsidR="005E7B4F" w:rsidRPr="005E7B4F">
        <w:rPr>
          <w:rFonts w:asciiTheme="minorHAnsi" w:hAnsiTheme="minorHAnsi" w:cs="HelveticaNeueLTStd-Lt"/>
          <w:color w:val="000000"/>
          <w:szCs w:val="24"/>
          <w:lang w:val="en-GB"/>
        </w:rPr>
        <w:t xml:space="preserve">he majority of business is </w:t>
      </w:r>
      <w:r w:rsidR="00C8110A">
        <w:rPr>
          <w:rFonts w:asciiTheme="minorHAnsi" w:hAnsiTheme="minorHAnsi" w:cs="HelveticaNeueLTStd-Lt"/>
          <w:color w:val="000000"/>
          <w:szCs w:val="24"/>
          <w:lang w:val="en-GB"/>
        </w:rPr>
        <w:t xml:space="preserve">being concluded </w:t>
      </w:r>
      <w:r w:rsidR="001A6DD0">
        <w:rPr>
          <w:rFonts w:asciiTheme="minorHAnsi" w:hAnsiTheme="minorHAnsi" w:cs="HelveticaNeueLTStd-Lt"/>
          <w:color w:val="000000"/>
          <w:szCs w:val="24"/>
          <w:lang w:val="en-GB"/>
        </w:rPr>
        <w:t>o</w:t>
      </w:r>
      <w:r w:rsidR="00C8110A">
        <w:rPr>
          <w:rFonts w:asciiTheme="minorHAnsi" w:hAnsiTheme="minorHAnsi" w:cs="HelveticaNeueLTStd-Lt"/>
          <w:color w:val="000000"/>
          <w:szCs w:val="24"/>
          <w:lang w:val="en-GB"/>
        </w:rPr>
        <w:t>n</w:t>
      </w:r>
      <w:r w:rsidR="001A6DD0">
        <w:rPr>
          <w:rFonts w:asciiTheme="minorHAnsi" w:hAnsiTheme="minorHAnsi" w:cs="HelveticaNeueLTStd-Lt"/>
          <w:color w:val="000000"/>
          <w:szCs w:val="24"/>
          <w:lang w:val="en-GB"/>
        </w:rPr>
        <w:t xml:space="preserve"> a</w:t>
      </w:r>
      <w:r w:rsidR="005E7B4F" w:rsidRPr="005E7B4F">
        <w:rPr>
          <w:rFonts w:asciiTheme="minorHAnsi" w:hAnsiTheme="minorHAnsi" w:cs="HelveticaNeueLTStd-Lt"/>
          <w:color w:val="000000"/>
          <w:szCs w:val="24"/>
          <w:lang w:val="en-GB"/>
        </w:rPr>
        <w:t xml:space="preserve"> spot </w:t>
      </w:r>
      <w:r w:rsidR="001A6DD0">
        <w:rPr>
          <w:rFonts w:asciiTheme="minorHAnsi" w:hAnsiTheme="minorHAnsi" w:cs="HelveticaNeueLTStd-Lt"/>
          <w:color w:val="000000"/>
          <w:szCs w:val="24"/>
          <w:lang w:val="en-GB"/>
        </w:rPr>
        <w:t>basis</w:t>
      </w:r>
      <w:r w:rsidR="005E7B4F" w:rsidRPr="005E7B4F">
        <w:rPr>
          <w:rFonts w:asciiTheme="minorHAnsi" w:hAnsiTheme="minorHAnsi" w:cs="HelveticaNeueLTStd-Lt"/>
          <w:color w:val="000000"/>
          <w:szCs w:val="24"/>
          <w:lang w:val="en-GB"/>
        </w:rPr>
        <w:t xml:space="preserve">, </w:t>
      </w:r>
      <w:r>
        <w:rPr>
          <w:rFonts w:asciiTheme="minorHAnsi" w:hAnsiTheme="minorHAnsi" w:cs="HelveticaNeueLTStd-Lt"/>
          <w:color w:val="000000"/>
          <w:szCs w:val="24"/>
          <w:lang w:val="en-GB"/>
        </w:rPr>
        <w:t>where we have increase</w:t>
      </w:r>
      <w:r w:rsidR="00C8110A">
        <w:rPr>
          <w:rFonts w:asciiTheme="minorHAnsi" w:hAnsiTheme="minorHAnsi" w:cs="HelveticaNeueLTStd-Lt"/>
          <w:color w:val="000000"/>
          <w:szCs w:val="24"/>
          <w:lang w:val="en-GB"/>
        </w:rPr>
        <w:t>d</w:t>
      </w:r>
      <w:r>
        <w:rPr>
          <w:rFonts w:asciiTheme="minorHAnsi" w:hAnsiTheme="minorHAnsi" w:cs="HelveticaNeueLTStd-Lt"/>
          <w:color w:val="000000"/>
          <w:szCs w:val="24"/>
          <w:lang w:val="en-GB"/>
        </w:rPr>
        <w:t xml:space="preserve"> our volumes and are well placed to continue servicing this market place. </w:t>
      </w:r>
    </w:p>
    <w:p w:rsidR="009E3AE5" w:rsidRPr="005E7B4F" w:rsidRDefault="009E3AE5" w:rsidP="00E43AD8">
      <w:pPr>
        <w:autoSpaceDE w:val="0"/>
        <w:autoSpaceDN w:val="0"/>
        <w:adjustRightInd w:val="0"/>
        <w:jc w:val="both"/>
        <w:rPr>
          <w:rFonts w:asciiTheme="minorHAnsi" w:hAnsiTheme="minorHAnsi" w:cs="HelveticaNeueLTStd-Lt"/>
          <w:color w:val="000000"/>
          <w:szCs w:val="24"/>
          <w:lang w:val="en-GB"/>
        </w:rPr>
      </w:pPr>
    </w:p>
    <w:p w:rsidR="005E7B4F" w:rsidRPr="00F41101" w:rsidRDefault="005E7B4F" w:rsidP="00E43AD8">
      <w:pPr>
        <w:autoSpaceDE w:val="0"/>
        <w:autoSpaceDN w:val="0"/>
        <w:adjustRightInd w:val="0"/>
        <w:jc w:val="both"/>
        <w:rPr>
          <w:rFonts w:asciiTheme="minorHAnsi" w:hAnsiTheme="minorHAnsi" w:cs="HelveticaNeueLTStd-Bd"/>
          <w:b/>
          <w:i/>
          <w:color w:val="000000"/>
          <w:szCs w:val="24"/>
          <w:lang w:val="en-GB"/>
        </w:rPr>
      </w:pPr>
      <w:r w:rsidRPr="00F41101">
        <w:rPr>
          <w:rFonts w:asciiTheme="minorHAnsi" w:hAnsiTheme="minorHAnsi" w:cs="HelveticaNeueLTStd-Bd"/>
          <w:b/>
          <w:i/>
          <w:color w:val="000000"/>
          <w:szCs w:val="24"/>
          <w:lang w:val="en-GB"/>
        </w:rPr>
        <w:t>Specialised Tankers</w:t>
      </w:r>
    </w:p>
    <w:p w:rsidR="007B391A" w:rsidRDefault="005E7B4F" w:rsidP="00E43AD8">
      <w:pPr>
        <w:autoSpaceDE w:val="0"/>
        <w:autoSpaceDN w:val="0"/>
        <w:adjustRightInd w:val="0"/>
        <w:jc w:val="both"/>
        <w:rPr>
          <w:rFonts w:asciiTheme="minorHAnsi" w:hAnsiTheme="minorHAnsi" w:cs="HelveticaNeueLTStd-Lt"/>
          <w:color w:val="000000"/>
          <w:szCs w:val="24"/>
          <w:lang w:val="en-GB"/>
        </w:rPr>
      </w:pPr>
      <w:r w:rsidRPr="005E7B4F">
        <w:rPr>
          <w:rFonts w:asciiTheme="minorHAnsi" w:hAnsiTheme="minorHAnsi" w:cs="HelveticaNeueLTStd-Lt"/>
          <w:color w:val="000000"/>
          <w:szCs w:val="24"/>
          <w:lang w:val="en-GB"/>
        </w:rPr>
        <w:t xml:space="preserve">We are represented in Chemicals, </w:t>
      </w:r>
      <w:r w:rsidR="007D1C01">
        <w:rPr>
          <w:rFonts w:asciiTheme="minorHAnsi" w:hAnsiTheme="minorHAnsi" w:cs="HelveticaNeueLTStd-Lt"/>
          <w:color w:val="000000"/>
          <w:szCs w:val="24"/>
          <w:lang w:val="en-GB"/>
        </w:rPr>
        <w:t>Petrochemical</w:t>
      </w:r>
      <w:r w:rsidRPr="005E7B4F">
        <w:rPr>
          <w:rFonts w:asciiTheme="minorHAnsi" w:hAnsiTheme="minorHAnsi" w:cs="HelveticaNeueLTStd-Lt"/>
          <w:color w:val="000000"/>
          <w:szCs w:val="24"/>
          <w:lang w:val="en-GB"/>
        </w:rPr>
        <w:t>s, LPG</w:t>
      </w:r>
      <w:r w:rsidR="007D1C01">
        <w:rPr>
          <w:rFonts w:asciiTheme="minorHAnsi" w:hAnsiTheme="minorHAnsi" w:cs="HelveticaNeueLTStd-Lt"/>
          <w:color w:val="000000"/>
          <w:szCs w:val="24"/>
          <w:lang w:val="en-GB"/>
        </w:rPr>
        <w:t xml:space="preserve"> and LNG</w:t>
      </w:r>
      <w:r w:rsidRPr="005E7B4F">
        <w:rPr>
          <w:rFonts w:asciiTheme="minorHAnsi" w:hAnsiTheme="minorHAnsi" w:cs="HelveticaNeueLTStd-Lt"/>
          <w:color w:val="000000"/>
          <w:szCs w:val="24"/>
          <w:lang w:val="en-GB"/>
        </w:rPr>
        <w:t>. These</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markets require specialist skills and knowledge at all levels.</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There is enthusiasm for the longer term potential for these</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markets which has created </w:t>
      </w:r>
      <w:r w:rsidR="007D1C01">
        <w:rPr>
          <w:rFonts w:asciiTheme="minorHAnsi" w:hAnsiTheme="minorHAnsi" w:cs="HelveticaNeueLTStd-Lt"/>
          <w:color w:val="000000"/>
          <w:szCs w:val="24"/>
          <w:lang w:val="en-GB"/>
        </w:rPr>
        <w:t xml:space="preserve">a certain amount of </w:t>
      </w:r>
      <w:r w:rsidRPr="005E7B4F">
        <w:rPr>
          <w:rFonts w:asciiTheme="minorHAnsi" w:hAnsiTheme="minorHAnsi" w:cs="HelveticaNeueLTStd-Lt"/>
          <w:color w:val="000000"/>
          <w:szCs w:val="24"/>
          <w:lang w:val="en-GB"/>
        </w:rPr>
        <w:t>over-supply in a number of niches.</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As with other markets we have seen an increasing tendency</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to more spot transactions, although we have recently signed</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up two longer term deals in areas of </w:t>
      </w:r>
      <w:r w:rsidR="00496A9C">
        <w:rPr>
          <w:rFonts w:asciiTheme="minorHAnsi" w:hAnsiTheme="minorHAnsi" w:cs="HelveticaNeueLTStd-Lt"/>
          <w:color w:val="000000"/>
          <w:szCs w:val="24"/>
          <w:lang w:val="en-GB"/>
        </w:rPr>
        <w:t>changing vessel</w:t>
      </w:r>
      <w:r w:rsidRPr="005E7B4F">
        <w:rPr>
          <w:rFonts w:asciiTheme="minorHAnsi" w:hAnsiTheme="minorHAnsi" w:cs="HelveticaNeueLTStd-Lt"/>
          <w:color w:val="000000"/>
          <w:szCs w:val="24"/>
          <w:lang w:val="en-GB"/>
        </w:rPr>
        <w:t xml:space="preserve"> technology</w:t>
      </w:r>
      <w:r w:rsidR="00496A9C">
        <w:rPr>
          <w:rFonts w:asciiTheme="minorHAnsi" w:hAnsiTheme="minorHAnsi" w:cs="HelveticaNeueLTStd-Lt"/>
          <w:color w:val="000000"/>
          <w:szCs w:val="24"/>
          <w:lang w:val="en-GB"/>
        </w:rPr>
        <w:t xml:space="preserve"> requirements</w:t>
      </w:r>
      <w:r w:rsidRPr="005E7B4F">
        <w:rPr>
          <w:rFonts w:asciiTheme="minorHAnsi" w:hAnsiTheme="minorHAnsi" w:cs="HelveticaNeueLTStd-Lt"/>
          <w:color w:val="000000"/>
          <w:szCs w:val="24"/>
          <w:lang w:val="en-GB"/>
        </w:rPr>
        <w:t>.</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We have recently </w:t>
      </w:r>
      <w:r w:rsidR="00C8110A">
        <w:rPr>
          <w:rFonts w:asciiTheme="minorHAnsi" w:hAnsiTheme="minorHAnsi" w:cs="HelveticaNeueLTStd-Lt"/>
          <w:color w:val="000000"/>
          <w:szCs w:val="24"/>
          <w:lang w:val="en-GB"/>
        </w:rPr>
        <w:t>arranged</w:t>
      </w:r>
      <w:r w:rsidRPr="005E7B4F">
        <w:rPr>
          <w:rFonts w:asciiTheme="minorHAnsi" w:hAnsiTheme="minorHAnsi" w:cs="HelveticaNeueLTStd-Lt"/>
          <w:color w:val="000000"/>
          <w:szCs w:val="24"/>
          <w:lang w:val="en-GB"/>
        </w:rPr>
        <w:t xml:space="preserve"> 15 year</w:t>
      </w:r>
      <w:r w:rsidR="000E7A76">
        <w:rPr>
          <w:rFonts w:asciiTheme="minorHAnsi" w:hAnsiTheme="minorHAnsi" w:cs="HelveticaNeueLTStd-Lt"/>
          <w:color w:val="000000"/>
          <w:szCs w:val="24"/>
          <w:lang w:val="en-GB"/>
        </w:rPr>
        <w:t xml:space="preserve"> </w:t>
      </w:r>
      <w:r w:rsidR="00496A9C">
        <w:rPr>
          <w:rFonts w:asciiTheme="minorHAnsi" w:hAnsiTheme="minorHAnsi" w:cs="HelveticaNeueLTStd-Lt"/>
          <w:color w:val="000000"/>
          <w:szCs w:val="24"/>
          <w:lang w:val="en-GB"/>
        </w:rPr>
        <w:t>shipping coverage</w:t>
      </w:r>
      <w:r w:rsidRPr="005E7B4F">
        <w:rPr>
          <w:rFonts w:asciiTheme="minorHAnsi" w:hAnsiTheme="minorHAnsi" w:cs="HelveticaNeueLTStd-Lt"/>
          <w:color w:val="000000"/>
          <w:szCs w:val="24"/>
          <w:lang w:val="en-GB"/>
        </w:rPr>
        <w:t xml:space="preserve"> for</w:t>
      </w:r>
      <w:r w:rsidR="00F41101">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a number of gas carriers, which</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are designed and built</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specifically for the carriage of ethane from the US to Europe,</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a direct result of the US shale gas development. We have also</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concluded long term time charters for two specially built</w:t>
      </w:r>
      <w:r w:rsidR="007B391A">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dual-fuel vessels that will comply with the new</w:t>
      </w:r>
      <w:r w:rsidR="005A2625">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emission requirements for European waters.</w:t>
      </w:r>
    </w:p>
    <w:p w:rsidR="007B391A" w:rsidRDefault="007B391A" w:rsidP="00E43AD8">
      <w:pPr>
        <w:autoSpaceDE w:val="0"/>
        <w:autoSpaceDN w:val="0"/>
        <w:adjustRightInd w:val="0"/>
        <w:jc w:val="both"/>
        <w:rPr>
          <w:rFonts w:asciiTheme="minorHAnsi" w:hAnsiTheme="minorHAnsi" w:cs="HelveticaNeueLTStd-Lt"/>
          <w:color w:val="000000"/>
          <w:szCs w:val="24"/>
          <w:lang w:val="en-GB"/>
        </w:rPr>
      </w:pPr>
    </w:p>
    <w:p w:rsidR="005E7B4F" w:rsidRPr="00F41101" w:rsidRDefault="005E7B4F" w:rsidP="00E43AD8">
      <w:pPr>
        <w:autoSpaceDE w:val="0"/>
        <w:autoSpaceDN w:val="0"/>
        <w:adjustRightInd w:val="0"/>
        <w:jc w:val="both"/>
        <w:rPr>
          <w:rFonts w:asciiTheme="minorHAnsi" w:hAnsiTheme="minorHAnsi" w:cs="HelveticaNeueLTStd-Bd"/>
          <w:b/>
          <w:i/>
          <w:color w:val="000000"/>
          <w:szCs w:val="24"/>
          <w:lang w:val="en-GB"/>
        </w:rPr>
      </w:pPr>
      <w:r w:rsidRPr="00F41101">
        <w:rPr>
          <w:rFonts w:asciiTheme="minorHAnsi" w:hAnsiTheme="minorHAnsi" w:cs="HelveticaNeueLTStd-Bd"/>
          <w:b/>
          <w:i/>
          <w:color w:val="000000"/>
          <w:szCs w:val="24"/>
          <w:lang w:val="en-GB"/>
        </w:rPr>
        <w:t>Offshore</w:t>
      </w:r>
    </w:p>
    <w:p w:rsidR="005A2625" w:rsidRDefault="001A6DD0" w:rsidP="00E43AD8">
      <w:pPr>
        <w:autoSpaceDE w:val="0"/>
        <w:autoSpaceDN w:val="0"/>
        <w:adjustRightInd w:val="0"/>
        <w:jc w:val="both"/>
        <w:rPr>
          <w:rFonts w:asciiTheme="minorHAnsi" w:hAnsiTheme="minorHAnsi" w:cs="HelveticaNeueLTStd-Lt"/>
          <w:color w:val="000000"/>
          <w:szCs w:val="24"/>
          <w:lang w:val="en-GB"/>
        </w:rPr>
      </w:pPr>
      <w:r>
        <w:rPr>
          <w:rFonts w:asciiTheme="minorHAnsi" w:hAnsiTheme="minorHAnsi" w:cs="HelveticaNeueLTStd-Lt"/>
          <w:color w:val="000000"/>
          <w:szCs w:val="24"/>
          <w:lang w:val="en-GB"/>
        </w:rPr>
        <w:t xml:space="preserve">As exploration and production in the offshore sector continues to grow </w:t>
      </w:r>
      <w:r w:rsidR="005F78B9">
        <w:rPr>
          <w:rFonts w:asciiTheme="minorHAnsi" w:hAnsiTheme="minorHAnsi" w:cs="HelveticaNeueLTStd-Lt"/>
          <w:color w:val="000000"/>
          <w:szCs w:val="24"/>
          <w:lang w:val="en-GB"/>
        </w:rPr>
        <w:t>both through greater recovery procedures from existing wells and deeper water drilling, the demand for supply vessels has been</w:t>
      </w:r>
      <w:r w:rsidR="000E7A76">
        <w:rPr>
          <w:rFonts w:asciiTheme="minorHAnsi" w:hAnsiTheme="minorHAnsi" w:cs="HelveticaNeueLTStd-Lt"/>
          <w:color w:val="000000"/>
          <w:szCs w:val="24"/>
          <w:lang w:val="en-GB"/>
        </w:rPr>
        <w:t xml:space="preserve"> strong. </w:t>
      </w:r>
      <w:r w:rsidR="005E7B4F" w:rsidRPr="005E7B4F">
        <w:rPr>
          <w:rFonts w:asciiTheme="minorHAnsi" w:hAnsiTheme="minorHAnsi" w:cs="HelveticaNeueLTStd-Lt"/>
          <w:color w:val="000000"/>
          <w:szCs w:val="24"/>
          <w:lang w:val="en-GB"/>
        </w:rPr>
        <w:t xml:space="preserve"> </w:t>
      </w:r>
      <w:r w:rsidR="000E7A76">
        <w:rPr>
          <w:rFonts w:asciiTheme="minorHAnsi" w:hAnsiTheme="minorHAnsi" w:cs="HelveticaNeueLTStd-Lt"/>
          <w:color w:val="000000"/>
          <w:szCs w:val="24"/>
          <w:lang w:val="en-GB"/>
        </w:rPr>
        <w:t xml:space="preserve">We </w:t>
      </w:r>
      <w:r w:rsidR="005E7B4F" w:rsidRPr="005E7B4F">
        <w:rPr>
          <w:rFonts w:asciiTheme="minorHAnsi" w:hAnsiTheme="minorHAnsi" w:cs="HelveticaNeueLTStd-Lt"/>
          <w:color w:val="000000"/>
          <w:szCs w:val="24"/>
          <w:lang w:val="en-GB"/>
        </w:rPr>
        <w:t>have expanded our coverage</w:t>
      </w:r>
      <w:r w:rsidR="00C8110A">
        <w:rPr>
          <w:rFonts w:asciiTheme="minorHAnsi" w:hAnsiTheme="minorHAnsi" w:cs="HelveticaNeueLTStd-Lt"/>
          <w:color w:val="000000"/>
          <w:szCs w:val="24"/>
          <w:lang w:val="en-GB"/>
        </w:rPr>
        <w:t xml:space="preserve"> in this area</w:t>
      </w:r>
      <w:r w:rsidR="005E7B4F" w:rsidRPr="005E7B4F">
        <w:rPr>
          <w:rFonts w:asciiTheme="minorHAnsi" w:hAnsiTheme="minorHAnsi" w:cs="HelveticaNeueLTStd-Lt"/>
          <w:color w:val="000000"/>
          <w:szCs w:val="24"/>
          <w:lang w:val="en-GB"/>
        </w:rPr>
        <w:t xml:space="preserve"> over recent years</w:t>
      </w:r>
      <w:r w:rsidR="000E7A76">
        <w:rPr>
          <w:rFonts w:asciiTheme="minorHAnsi" w:hAnsiTheme="minorHAnsi" w:cs="HelveticaNeueLTStd-Lt"/>
          <w:color w:val="000000"/>
          <w:szCs w:val="24"/>
          <w:lang w:val="en-GB"/>
        </w:rPr>
        <w:t xml:space="preserve"> and</w:t>
      </w:r>
      <w:r w:rsidR="00C8110A">
        <w:rPr>
          <w:rFonts w:asciiTheme="minorHAnsi" w:hAnsiTheme="minorHAnsi" w:cs="HelveticaNeueLTStd-Lt"/>
          <w:color w:val="000000"/>
          <w:szCs w:val="24"/>
          <w:lang w:val="en-GB"/>
        </w:rPr>
        <w:t xml:space="preserve"> </w:t>
      </w:r>
      <w:r w:rsidR="000E7A76">
        <w:rPr>
          <w:rFonts w:asciiTheme="minorHAnsi" w:hAnsiTheme="minorHAnsi" w:cs="HelveticaNeueLTStd-Lt"/>
          <w:color w:val="000000"/>
          <w:szCs w:val="24"/>
          <w:lang w:val="en-GB"/>
        </w:rPr>
        <w:t>w</w:t>
      </w:r>
      <w:r w:rsidR="005E7B4F" w:rsidRPr="005E7B4F">
        <w:rPr>
          <w:rFonts w:asciiTheme="minorHAnsi" w:hAnsiTheme="minorHAnsi" w:cs="HelveticaNeueLTStd-Lt"/>
          <w:color w:val="000000"/>
          <w:szCs w:val="24"/>
          <w:lang w:val="en-GB"/>
        </w:rPr>
        <w:t>hile the</w:t>
      </w:r>
      <w:r w:rsidR="007B391A">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 xml:space="preserve">North Sea </w:t>
      </w:r>
      <w:r w:rsidR="007D1C01">
        <w:rPr>
          <w:rFonts w:asciiTheme="minorHAnsi" w:hAnsiTheme="minorHAnsi" w:cs="HelveticaNeueLTStd-Lt"/>
          <w:color w:val="000000"/>
          <w:szCs w:val="24"/>
          <w:lang w:val="en-GB"/>
        </w:rPr>
        <w:t xml:space="preserve">market </w:t>
      </w:r>
      <w:r w:rsidR="005E7B4F" w:rsidRPr="005E7B4F">
        <w:rPr>
          <w:rFonts w:asciiTheme="minorHAnsi" w:hAnsiTheme="minorHAnsi" w:cs="HelveticaNeueLTStd-Lt"/>
          <w:color w:val="000000"/>
          <w:szCs w:val="24"/>
          <w:lang w:val="en-GB"/>
        </w:rPr>
        <w:t xml:space="preserve">remains </w:t>
      </w:r>
      <w:r w:rsidR="007D1C01">
        <w:rPr>
          <w:rFonts w:asciiTheme="minorHAnsi" w:hAnsiTheme="minorHAnsi" w:cs="HelveticaNeueLTStd-Lt"/>
          <w:color w:val="000000"/>
          <w:szCs w:val="24"/>
          <w:lang w:val="en-GB"/>
        </w:rPr>
        <w:t>prolific</w:t>
      </w:r>
      <w:r w:rsidR="000E7A76">
        <w:rPr>
          <w:rFonts w:asciiTheme="minorHAnsi" w:hAnsiTheme="minorHAnsi" w:cs="HelveticaNeueLTStd-Lt"/>
          <w:color w:val="000000"/>
          <w:szCs w:val="24"/>
          <w:lang w:val="en-GB"/>
        </w:rPr>
        <w:t>,</w:t>
      </w:r>
      <w:r w:rsidR="005E7B4F" w:rsidRPr="005E7B4F">
        <w:rPr>
          <w:rFonts w:asciiTheme="minorHAnsi" w:hAnsiTheme="minorHAnsi" w:cs="HelveticaNeueLTStd-Lt"/>
          <w:color w:val="000000"/>
          <w:szCs w:val="24"/>
          <w:lang w:val="en-GB"/>
        </w:rPr>
        <w:t xml:space="preserve"> we have also</w:t>
      </w:r>
      <w:r w:rsidR="007B391A">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 xml:space="preserve">concluded </w:t>
      </w:r>
      <w:r w:rsidR="007D1C01">
        <w:rPr>
          <w:rFonts w:asciiTheme="minorHAnsi" w:hAnsiTheme="minorHAnsi" w:cs="HelveticaNeueLTStd-Lt"/>
          <w:color w:val="000000"/>
          <w:szCs w:val="24"/>
          <w:lang w:val="en-GB"/>
        </w:rPr>
        <w:t xml:space="preserve">significant </w:t>
      </w:r>
      <w:r w:rsidR="005E7B4F" w:rsidRPr="005E7B4F">
        <w:rPr>
          <w:rFonts w:asciiTheme="minorHAnsi" w:hAnsiTheme="minorHAnsi" w:cs="HelveticaNeueLTStd-Lt"/>
          <w:color w:val="000000"/>
          <w:szCs w:val="24"/>
          <w:lang w:val="en-GB"/>
        </w:rPr>
        <w:t>business in Latin America, Asia and East Africa.</w:t>
      </w:r>
    </w:p>
    <w:p w:rsidR="005A2625" w:rsidRDefault="005A2625" w:rsidP="00E43AD8">
      <w:pPr>
        <w:autoSpaceDE w:val="0"/>
        <w:autoSpaceDN w:val="0"/>
        <w:adjustRightInd w:val="0"/>
        <w:jc w:val="both"/>
        <w:rPr>
          <w:rFonts w:asciiTheme="minorHAnsi" w:hAnsiTheme="minorHAnsi" w:cs="HelveticaNeueLTStd-Lt"/>
          <w:color w:val="000000"/>
          <w:szCs w:val="24"/>
          <w:lang w:val="en-GB"/>
        </w:rPr>
      </w:pPr>
    </w:p>
    <w:p w:rsidR="003452AB" w:rsidRPr="005E7B4F" w:rsidRDefault="007D1C01" w:rsidP="00E43AD8">
      <w:pPr>
        <w:autoSpaceDE w:val="0"/>
        <w:autoSpaceDN w:val="0"/>
        <w:adjustRightInd w:val="0"/>
        <w:jc w:val="both"/>
        <w:rPr>
          <w:rFonts w:asciiTheme="minorHAnsi" w:hAnsiTheme="minorHAnsi" w:cs="HelveticaNeueLTStd-Lt"/>
          <w:color w:val="000000"/>
          <w:szCs w:val="24"/>
          <w:lang w:val="en-GB"/>
        </w:rPr>
      </w:pPr>
      <w:r>
        <w:rPr>
          <w:rFonts w:asciiTheme="minorHAnsi" w:hAnsiTheme="minorHAnsi" w:cs="HelveticaNeueLTStd-Lt"/>
          <w:color w:val="000000"/>
          <w:szCs w:val="24"/>
          <w:lang w:val="en-GB"/>
        </w:rPr>
        <w:t xml:space="preserve">Our offshore desks in </w:t>
      </w:r>
      <w:r w:rsidR="00C8110A">
        <w:rPr>
          <w:rFonts w:asciiTheme="minorHAnsi" w:hAnsiTheme="minorHAnsi" w:cs="HelveticaNeueLTStd-Lt"/>
          <w:color w:val="000000"/>
          <w:szCs w:val="24"/>
          <w:lang w:val="en-GB"/>
        </w:rPr>
        <w:t xml:space="preserve">the </w:t>
      </w:r>
      <w:r>
        <w:rPr>
          <w:rFonts w:asciiTheme="minorHAnsi" w:hAnsiTheme="minorHAnsi" w:cs="HelveticaNeueLTStd-Lt"/>
          <w:color w:val="000000"/>
          <w:szCs w:val="24"/>
          <w:lang w:val="en-GB"/>
        </w:rPr>
        <w:t>UK and Asia have performed well and</w:t>
      </w:r>
      <w:r w:rsidR="005E7B4F" w:rsidRPr="00C02146">
        <w:rPr>
          <w:rFonts w:asciiTheme="minorHAnsi" w:hAnsiTheme="minorHAnsi" w:cs="HelveticaNeueLTStd-Lt"/>
          <w:szCs w:val="24"/>
          <w:lang w:val="en-GB"/>
        </w:rPr>
        <w:t xml:space="preserve"> </w:t>
      </w:r>
      <w:r>
        <w:rPr>
          <w:rFonts w:asciiTheme="minorHAnsi" w:hAnsiTheme="minorHAnsi" w:cs="HelveticaNeueLTStd-Lt"/>
          <w:color w:val="000000"/>
          <w:szCs w:val="24"/>
          <w:lang w:val="en-GB"/>
        </w:rPr>
        <w:t>w</w:t>
      </w:r>
      <w:r w:rsidR="005E7B4F" w:rsidRPr="005E7B4F">
        <w:rPr>
          <w:rFonts w:asciiTheme="minorHAnsi" w:hAnsiTheme="minorHAnsi" w:cs="HelveticaNeueLTStd-Lt"/>
          <w:color w:val="000000"/>
          <w:szCs w:val="24"/>
          <w:lang w:val="en-GB"/>
        </w:rPr>
        <w:t>ith the</w:t>
      </w:r>
      <w:r w:rsidR="007B391A">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continued growth in offshore exploration and production this</w:t>
      </w:r>
      <w:r w:rsidR="007B391A">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strong performance should be maintained.</w:t>
      </w:r>
      <w:r w:rsidR="00C8110A">
        <w:rPr>
          <w:rFonts w:asciiTheme="minorHAnsi" w:hAnsiTheme="minorHAnsi" w:cs="HelveticaNeueLTStd-Lt"/>
          <w:color w:val="000000"/>
          <w:szCs w:val="24"/>
          <w:lang w:val="en-GB"/>
        </w:rPr>
        <w:t xml:space="preserve"> We continue to look for opportunities to expand </w:t>
      </w:r>
      <w:r w:rsidR="005F78B9">
        <w:rPr>
          <w:rFonts w:asciiTheme="minorHAnsi" w:hAnsiTheme="minorHAnsi" w:cs="HelveticaNeueLTStd-Lt"/>
          <w:color w:val="000000"/>
          <w:szCs w:val="24"/>
          <w:lang w:val="en-GB"/>
        </w:rPr>
        <w:t xml:space="preserve">our presence </w:t>
      </w:r>
      <w:r w:rsidR="00C8110A">
        <w:rPr>
          <w:rFonts w:asciiTheme="minorHAnsi" w:hAnsiTheme="minorHAnsi" w:cs="HelveticaNeueLTStd-Lt"/>
          <w:color w:val="000000"/>
          <w:szCs w:val="24"/>
          <w:lang w:val="en-GB"/>
        </w:rPr>
        <w:t xml:space="preserve">in this </w:t>
      </w:r>
      <w:r w:rsidR="005A2625">
        <w:rPr>
          <w:rFonts w:asciiTheme="minorHAnsi" w:hAnsiTheme="minorHAnsi" w:cs="HelveticaNeueLTStd-Lt"/>
          <w:color w:val="000000"/>
          <w:szCs w:val="24"/>
          <w:lang w:val="en-GB"/>
        </w:rPr>
        <w:t xml:space="preserve">growing and important </w:t>
      </w:r>
      <w:r w:rsidR="00C8110A">
        <w:rPr>
          <w:rFonts w:asciiTheme="minorHAnsi" w:hAnsiTheme="minorHAnsi" w:cs="HelveticaNeueLTStd-Lt"/>
          <w:color w:val="000000"/>
          <w:szCs w:val="24"/>
          <w:lang w:val="en-GB"/>
        </w:rPr>
        <w:t>sector.</w:t>
      </w:r>
    </w:p>
    <w:p w:rsidR="005E7B4F" w:rsidRPr="005E7B4F" w:rsidRDefault="005E7B4F" w:rsidP="00E43AD8">
      <w:pPr>
        <w:autoSpaceDE w:val="0"/>
        <w:autoSpaceDN w:val="0"/>
        <w:adjustRightInd w:val="0"/>
        <w:jc w:val="both"/>
        <w:rPr>
          <w:rFonts w:asciiTheme="minorHAnsi" w:hAnsiTheme="minorHAnsi" w:cs="HelveticaNeueLTStd-Lt"/>
          <w:color w:val="000000"/>
          <w:szCs w:val="24"/>
          <w:lang w:val="en-GB"/>
        </w:rPr>
      </w:pPr>
    </w:p>
    <w:p w:rsidR="005E7B4F" w:rsidRPr="00F41101" w:rsidRDefault="005E7B4F" w:rsidP="00E43AD8">
      <w:pPr>
        <w:autoSpaceDE w:val="0"/>
        <w:autoSpaceDN w:val="0"/>
        <w:adjustRightInd w:val="0"/>
        <w:jc w:val="both"/>
        <w:rPr>
          <w:rFonts w:asciiTheme="minorHAnsi" w:hAnsiTheme="minorHAnsi" w:cs="HelveticaNeueLTStd-Bd"/>
          <w:b/>
          <w:i/>
          <w:color w:val="000000"/>
          <w:szCs w:val="24"/>
          <w:lang w:val="en-GB"/>
        </w:rPr>
      </w:pPr>
      <w:r w:rsidRPr="00F41101">
        <w:rPr>
          <w:rFonts w:asciiTheme="minorHAnsi" w:hAnsiTheme="minorHAnsi" w:cs="HelveticaNeueLTStd-Bd"/>
          <w:b/>
          <w:i/>
          <w:color w:val="000000"/>
          <w:szCs w:val="24"/>
          <w:lang w:val="en-GB"/>
        </w:rPr>
        <w:t>Containers</w:t>
      </w:r>
    </w:p>
    <w:p w:rsidR="003452AB" w:rsidRDefault="005E7B4F" w:rsidP="00E43AD8">
      <w:pPr>
        <w:autoSpaceDE w:val="0"/>
        <w:autoSpaceDN w:val="0"/>
        <w:adjustRightInd w:val="0"/>
        <w:jc w:val="both"/>
        <w:rPr>
          <w:rFonts w:asciiTheme="minorHAnsi" w:hAnsiTheme="minorHAnsi" w:cs="HelveticaNeueLTStd-Lt"/>
          <w:color w:val="000000"/>
          <w:szCs w:val="24"/>
          <w:lang w:val="en-GB"/>
        </w:rPr>
      </w:pPr>
      <w:r w:rsidRPr="005E7B4F">
        <w:rPr>
          <w:rFonts w:asciiTheme="minorHAnsi" w:hAnsiTheme="minorHAnsi" w:cs="HelveticaNeueLTStd-Lt"/>
          <w:color w:val="000000"/>
          <w:szCs w:val="24"/>
          <w:lang w:val="en-GB"/>
        </w:rPr>
        <w:t>The globalisation of trade has meant that seaborne</w:t>
      </w:r>
      <w:r w:rsidR="003452AB">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container trade has historically increased at a little over twice</w:t>
      </w:r>
      <w:r w:rsidR="003452AB">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the rate of global GDP growth. This relationship has recently</w:t>
      </w:r>
      <w:r w:rsidR="00F41101">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been tested and in 2012 the growth in container trade was only</w:t>
      </w:r>
      <w:r w:rsidR="003452AB">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equivalent to global GDP growth. As a result, the long-term</w:t>
      </w:r>
      <w:r w:rsidR="003452AB">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growth in container trade has been more than covered by the</w:t>
      </w:r>
      <w:r w:rsidR="003452AB">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long-term growth of the container fleet. We estimate </w:t>
      </w:r>
      <w:r w:rsidR="00A54B2E">
        <w:rPr>
          <w:rFonts w:asciiTheme="minorHAnsi" w:hAnsiTheme="minorHAnsi" w:cs="HelveticaNeueLTStd-Lt"/>
          <w:color w:val="000000"/>
          <w:szCs w:val="24"/>
          <w:lang w:val="en-GB"/>
        </w:rPr>
        <w:t xml:space="preserve">that </w:t>
      </w:r>
      <w:r w:rsidRPr="005E7B4F">
        <w:rPr>
          <w:rFonts w:asciiTheme="minorHAnsi" w:hAnsiTheme="minorHAnsi" w:cs="HelveticaNeueLTStd-Lt"/>
          <w:color w:val="000000"/>
          <w:szCs w:val="24"/>
          <w:lang w:val="en-GB"/>
        </w:rPr>
        <w:t>at the end</w:t>
      </w:r>
      <w:r w:rsidR="003452AB">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of calendar</w:t>
      </w:r>
      <w:r w:rsidR="00A54B2E">
        <w:rPr>
          <w:rFonts w:asciiTheme="minorHAnsi" w:hAnsiTheme="minorHAnsi" w:cs="HelveticaNeueLTStd-Lt"/>
          <w:color w:val="000000"/>
          <w:szCs w:val="24"/>
          <w:lang w:val="en-GB"/>
        </w:rPr>
        <w:t xml:space="preserve"> year</w:t>
      </w:r>
      <w:r w:rsidRPr="005E7B4F">
        <w:rPr>
          <w:rFonts w:asciiTheme="minorHAnsi" w:hAnsiTheme="minorHAnsi" w:cs="HelveticaNeueLTStd-Lt"/>
          <w:color w:val="000000"/>
          <w:szCs w:val="24"/>
          <w:lang w:val="en-GB"/>
        </w:rPr>
        <w:t xml:space="preserve"> 2012 there was 36%</w:t>
      </w:r>
      <w:r w:rsidR="003452AB">
        <w:rPr>
          <w:rFonts w:asciiTheme="minorHAnsi" w:hAnsiTheme="minorHAnsi" w:cs="HelveticaNeueLTStd-Lt"/>
          <w:color w:val="000000"/>
          <w:szCs w:val="24"/>
          <w:lang w:val="en-GB"/>
        </w:rPr>
        <w:t xml:space="preserve"> o</w:t>
      </w:r>
      <w:r w:rsidRPr="005E7B4F">
        <w:rPr>
          <w:rFonts w:asciiTheme="minorHAnsi" w:hAnsiTheme="minorHAnsi" w:cs="HelveticaNeueLTStd-Lt"/>
          <w:color w:val="000000"/>
          <w:szCs w:val="24"/>
          <w:lang w:val="en-GB"/>
        </w:rPr>
        <w:t>vercapa</w:t>
      </w:r>
      <w:r w:rsidR="00C02146">
        <w:rPr>
          <w:rFonts w:asciiTheme="minorHAnsi" w:hAnsiTheme="minorHAnsi" w:cs="HelveticaNeueLTStd-Lt"/>
          <w:color w:val="000000"/>
          <w:szCs w:val="24"/>
          <w:lang w:val="en-GB"/>
        </w:rPr>
        <w:t>city,</w:t>
      </w:r>
      <w:r w:rsidRPr="005E7B4F">
        <w:rPr>
          <w:rFonts w:asciiTheme="minorHAnsi" w:hAnsiTheme="minorHAnsi" w:cs="HelveticaNeueLTStd-Lt"/>
          <w:color w:val="000000"/>
          <w:szCs w:val="24"/>
          <w:lang w:val="en-GB"/>
        </w:rPr>
        <w:t xml:space="preserve"> up from 34% in 2011, and as a result</w:t>
      </w:r>
      <w:r w:rsidR="003452AB">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average time charter rates fell</w:t>
      </w:r>
      <w:r w:rsidR="005A2625">
        <w:rPr>
          <w:rFonts w:asciiTheme="minorHAnsi" w:hAnsiTheme="minorHAnsi" w:cs="HelveticaNeueLTStd-Lt"/>
          <w:color w:val="000000"/>
          <w:szCs w:val="24"/>
          <w:lang w:val="en-GB"/>
        </w:rPr>
        <w:t xml:space="preserve"> significantly</w:t>
      </w:r>
      <w:r w:rsidRPr="005E7B4F">
        <w:rPr>
          <w:rFonts w:asciiTheme="minorHAnsi" w:hAnsiTheme="minorHAnsi" w:cs="HelveticaNeueLTStd-Lt"/>
          <w:color w:val="000000"/>
          <w:szCs w:val="24"/>
          <w:lang w:val="en-GB"/>
        </w:rPr>
        <w:t xml:space="preserve"> year on year.</w:t>
      </w:r>
    </w:p>
    <w:p w:rsidR="003452AB" w:rsidRDefault="003452AB" w:rsidP="00E43AD8">
      <w:pPr>
        <w:autoSpaceDE w:val="0"/>
        <w:autoSpaceDN w:val="0"/>
        <w:adjustRightInd w:val="0"/>
        <w:jc w:val="both"/>
        <w:rPr>
          <w:rFonts w:asciiTheme="minorHAnsi" w:hAnsiTheme="minorHAnsi" w:cs="HelveticaNeueLTStd-Lt"/>
          <w:color w:val="000000"/>
          <w:szCs w:val="24"/>
          <w:lang w:val="en-GB"/>
        </w:rPr>
      </w:pPr>
    </w:p>
    <w:p w:rsidR="003452AB" w:rsidRDefault="005E7B4F" w:rsidP="00E43AD8">
      <w:pPr>
        <w:autoSpaceDE w:val="0"/>
        <w:autoSpaceDN w:val="0"/>
        <w:adjustRightInd w:val="0"/>
        <w:jc w:val="both"/>
        <w:rPr>
          <w:rFonts w:asciiTheme="minorHAnsi" w:hAnsiTheme="minorHAnsi" w:cs="HelveticaNeueLTStd-Lt"/>
          <w:color w:val="000000"/>
          <w:szCs w:val="24"/>
          <w:lang w:val="en-GB"/>
        </w:rPr>
      </w:pPr>
      <w:r w:rsidRPr="005E7B4F">
        <w:rPr>
          <w:rFonts w:asciiTheme="minorHAnsi" w:hAnsiTheme="minorHAnsi" w:cs="HelveticaNeueLTStd-Lt"/>
          <w:color w:val="000000"/>
          <w:szCs w:val="24"/>
          <w:lang w:val="en-GB"/>
        </w:rPr>
        <w:t>Looking forward annualised world GDP growth is expected</w:t>
      </w:r>
      <w:r w:rsidR="003452AB">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to remain steady at 3.5% and </w:t>
      </w:r>
      <w:r w:rsidR="00EE0AC2">
        <w:rPr>
          <w:rFonts w:asciiTheme="minorHAnsi" w:hAnsiTheme="minorHAnsi" w:cs="HelveticaNeueLTStd-Lt"/>
          <w:color w:val="000000"/>
          <w:szCs w:val="24"/>
          <w:lang w:val="en-GB"/>
        </w:rPr>
        <w:t>with the balance of</w:t>
      </w:r>
      <w:r w:rsidRPr="005E7B4F">
        <w:rPr>
          <w:rFonts w:asciiTheme="minorHAnsi" w:hAnsiTheme="minorHAnsi" w:cs="HelveticaNeueLTStd-Lt"/>
          <w:color w:val="000000"/>
          <w:szCs w:val="24"/>
          <w:lang w:val="en-GB"/>
        </w:rPr>
        <w:t xml:space="preserve"> order</w:t>
      </w:r>
      <w:r w:rsidR="00EE0AC2">
        <w:rPr>
          <w:rFonts w:asciiTheme="minorHAnsi" w:hAnsiTheme="minorHAnsi" w:cs="HelveticaNeueLTStd-Lt"/>
          <w:color w:val="000000"/>
          <w:szCs w:val="24"/>
          <w:lang w:val="en-GB"/>
        </w:rPr>
        <w:t>s</w:t>
      </w:r>
      <w:r w:rsidRPr="005E7B4F">
        <w:rPr>
          <w:rFonts w:asciiTheme="minorHAnsi" w:hAnsiTheme="minorHAnsi" w:cs="HelveticaNeueLTStd-Lt"/>
          <w:color w:val="000000"/>
          <w:szCs w:val="24"/>
          <w:lang w:val="en-GB"/>
        </w:rPr>
        <w:t xml:space="preserve"> and </w:t>
      </w:r>
      <w:proofErr w:type="spellStart"/>
      <w:r w:rsidRPr="005E7B4F">
        <w:rPr>
          <w:rFonts w:asciiTheme="minorHAnsi" w:hAnsiTheme="minorHAnsi" w:cs="HelveticaNeueLTStd-Lt"/>
          <w:color w:val="000000"/>
          <w:szCs w:val="24"/>
          <w:lang w:val="en-GB"/>
        </w:rPr>
        <w:t>scrapping</w:t>
      </w:r>
      <w:r w:rsidR="00EE0AC2">
        <w:rPr>
          <w:rFonts w:asciiTheme="minorHAnsi" w:hAnsiTheme="minorHAnsi" w:cs="HelveticaNeueLTStd-Lt"/>
          <w:color w:val="000000"/>
          <w:szCs w:val="24"/>
          <w:lang w:val="en-GB"/>
        </w:rPr>
        <w:t>s</w:t>
      </w:r>
      <w:proofErr w:type="spellEnd"/>
      <w:r w:rsidR="00EE0AC2">
        <w:rPr>
          <w:rFonts w:asciiTheme="minorHAnsi" w:hAnsiTheme="minorHAnsi" w:cs="HelveticaNeueLTStd-Lt"/>
          <w:color w:val="000000"/>
          <w:szCs w:val="24"/>
          <w:lang w:val="en-GB"/>
        </w:rPr>
        <w:t xml:space="preserve"> difficult to</w:t>
      </w:r>
      <w:r w:rsidRPr="005E7B4F">
        <w:rPr>
          <w:rFonts w:asciiTheme="minorHAnsi" w:hAnsiTheme="minorHAnsi" w:cs="HelveticaNeueLTStd-Lt"/>
          <w:color w:val="000000"/>
          <w:szCs w:val="24"/>
          <w:lang w:val="en-GB"/>
        </w:rPr>
        <w:t xml:space="preserve"> </w:t>
      </w:r>
      <w:r w:rsidR="005A2625">
        <w:rPr>
          <w:rFonts w:asciiTheme="minorHAnsi" w:hAnsiTheme="minorHAnsi" w:cs="HelveticaNeueLTStd-Lt"/>
          <w:color w:val="000000"/>
          <w:szCs w:val="24"/>
          <w:lang w:val="en-GB"/>
        </w:rPr>
        <w:t xml:space="preserve">predict </w:t>
      </w:r>
      <w:r w:rsidRPr="005E7B4F">
        <w:rPr>
          <w:rFonts w:asciiTheme="minorHAnsi" w:hAnsiTheme="minorHAnsi" w:cs="HelveticaNeueLTStd-Lt"/>
          <w:color w:val="000000"/>
          <w:szCs w:val="24"/>
          <w:lang w:val="en-GB"/>
        </w:rPr>
        <w:t xml:space="preserve">we anticipate </w:t>
      </w:r>
      <w:r w:rsidR="00EE0AC2">
        <w:rPr>
          <w:rFonts w:asciiTheme="minorHAnsi" w:hAnsiTheme="minorHAnsi" w:cs="HelveticaNeueLTStd-Lt"/>
          <w:color w:val="000000"/>
          <w:szCs w:val="24"/>
          <w:lang w:val="en-GB"/>
        </w:rPr>
        <w:t>any</w:t>
      </w:r>
      <w:r w:rsidRPr="005E7B4F">
        <w:rPr>
          <w:rFonts w:asciiTheme="minorHAnsi" w:hAnsiTheme="minorHAnsi" w:cs="HelveticaNeueLTStd-Lt"/>
          <w:color w:val="000000"/>
          <w:szCs w:val="24"/>
          <w:lang w:val="en-GB"/>
        </w:rPr>
        <w:t xml:space="preserve"> recovery in the</w:t>
      </w:r>
      <w:r w:rsidR="003452AB">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container market </w:t>
      </w:r>
      <w:r w:rsidR="00EE0AC2">
        <w:rPr>
          <w:rFonts w:asciiTheme="minorHAnsi" w:hAnsiTheme="minorHAnsi" w:cs="HelveticaNeueLTStd-Lt"/>
          <w:color w:val="000000"/>
          <w:szCs w:val="24"/>
          <w:lang w:val="en-GB"/>
        </w:rPr>
        <w:t>being more than 12 months away</w:t>
      </w:r>
      <w:r w:rsidRPr="005E7B4F">
        <w:rPr>
          <w:rFonts w:asciiTheme="minorHAnsi" w:hAnsiTheme="minorHAnsi" w:cs="HelveticaNeueLTStd-Lt"/>
          <w:color w:val="000000"/>
          <w:szCs w:val="24"/>
          <w:lang w:val="en-GB"/>
        </w:rPr>
        <w:t>. We added</w:t>
      </w:r>
      <w:r w:rsidR="003452AB">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to our team during the year and now have a strong team</w:t>
      </w:r>
      <w:r w:rsidR="003452AB">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across London</w:t>
      </w:r>
      <w:r w:rsidR="00A54B2E">
        <w:rPr>
          <w:rFonts w:asciiTheme="minorHAnsi" w:hAnsiTheme="minorHAnsi" w:cs="HelveticaNeueLTStd-Lt"/>
          <w:color w:val="000000"/>
          <w:szCs w:val="24"/>
          <w:lang w:val="en-GB"/>
        </w:rPr>
        <w:t xml:space="preserve"> and</w:t>
      </w:r>
      <w:r w:rsidRPr="005E7B4F">
        <w:rPr>
          <w:rFonts w:asciiTheme="minorHAnsi" w:hAnsiTheme="minorHAnsi" w:cs="HelveticaNeueLTStd-Lt"/>
          <w:color w:val="000000"/>
          <w:szCs w:val="24"/>
          <w:lang w:val="en-GB"/>
        </w:rPr>
        <w:t xml:space="preserve"> Singapore</w:t>
      </w:r>
      <w:r w:rsidR="009E3AE5">
        <w:rPr>
          <w:rFonts w:asciiTheme="minorHAnsi" w:hAnsiTheme="minorHAnsi" w:cs="HelveticaNeueLTStd-Lt"/>
          <w:color w:val="000000"/>
          <w:szCs w:val="24"/>
          <w:lang w:val="en-GB"/>
        </w:rPr>
        <w:t>.</w:t>
      </w:r>
    </w:p>
    <w:p w:rsidR="00CB52DB" w:rsidRDefault="00CB52DB" w:rsidP="00E43AD8">
      <w:pPr>
        <w:autoSpaceDE w:val="0"/>
        <w:autoSpaceDN w:val="0"/>
        <w:adjustRightInd w:val="0"/>
        <w:jc w:val="both"/>
        <w:rPr>
          <w:rFonts w:asciiTheme="minorHAnsi" w:hAnsiTheme="minorHAnsi" w:cs="HelveticaNeueLTStd-Lt"/>
          <w:color w:val="000000"/>
          <w:szCs w:val="24"/>
          <w:lang w:val="en-GB"/>
        </w:rPr>
      </w:pPr>
    </w:p>
    <w:p w:rsidR="00CB52DB" w:rsidRDefault="00CB52DB" w:rsidP="00E43AD8">
      <w:pPr>
        <w:autoSpaceDE w:val="0"/>
        <w:autoSpaceDN w:val="0"/>
        <w:adjustRightInd w:val="0"/>
        <w:jc w:val="both"/>
        <w:rPr>
          <w:rFonts w:asciiTheme="minorHAnsi" w:hAnsiTheme="minorHAnsi" w:cs="HelveticaNeueLTStd-Lt"/>
          <w:color w:val="000000"/>
          <w:szCs w:val="24"/>
          <w:lang w:val="en-GB"/>
        </w:rPr>
      </w:pPr>
    </w:p>
    <w:p w:rsidR="00CB52DB" w:rsidRDefault="00CB52DB" w:rsidP="00E43AD8">
      <w:pPr>
        <w:autoSpaceDE w:val="0"/>
        <w:autoSpaceDN w:val="0"/>
        <w:adjustRightInd w:val="0"/>
        <w:jc w:val="both"/>
        <w:rPr>
          <w:rFonts w:asciiTheme="minorHAnsi" w:hAnsiTheme="minorHAnsi" w:cs="HelveticaNeueLTStd-Lt"/>
          <w:color w:val="000000"/>
          <w:szCs w:val="24"/>
          <w:lang w:val="en-GB"/>
        </w:rPr>
      </w:pPr>
    </w:p>
    <w:p w:rsidR="005E7B4F" w:rsidRDefault="005E7B4F" w:rsidP="00E43AD8">
      <w:pPr>
        <w:autoSpaceDE w:val="0"/>
        <w:autoSpaceDN w:val="0"/>
        <w:adjustRightInd w:val="0"/>
        <w:jc w:val="both"/>
        <w:rPr>
          <w:rFonts w:asciiTheme="minorHAnsi" w:hAnsiTheme="minorHAnsi" w:cs="HelveticaNeueLTStd-Bd"/>
          <w:b/>
          <w:i/>
          <w:color w:val="000000"/>
          <w:szCs w:val="24"/>
          <w:lang w:val="en-GB"/>
        </w:rPr>
      </w:pPr>
      <w:r w:rsidRPr="00F41101">
        <w:rPr>
          <w:rFonts w:asciiTheme="minorHAnsi" w:hAnsiTheme="minorHAnsi" w:cs="HelveticaNeueLTStd-Bd"/>
          <w:b/>
          <w:i/>
          <w:color w:val="000000"/>
          <w:szCs w:val="24"/>
          <w:lang w:val="en-GB"/>
        </w:rPr>
        <w:lastRenderedPageBreak/>
        <w:t>Sale and Purchase</w:t>
      </w:r>
    </w:p>
    <w:p w:rsidR="00EE0AC2" w:rsidRPr="005E7B4F" w:rsidRDefault="00EE0AC2" w:rsidP="00EE0AC2">
      <w:pPr>
        <w:autoSpaceDE w:val="0"/>
        <w:autoSpaceDN w:val="0"/>
        <w:adjustRightInd w:val="0"/>
        <w:jc w:val="both"/>
        <w:rPr>
          <w:rFonts w:asciiTheme="minorHAnsi" w:hAnsiTheme="minorHAnsi" w:cs="HelveticaNeueLTStd-Lt"/>
          <w:color w:val="000000"/>
          <w:szCs w:val="24"/>
          <w:lang w:val="en-GB"/>
        </w:rPr>
      </w:pPr>
      <w:r w:rsidRPr="005E7B4F">
        <w:rPr>
          <w:rFonts w:asciiTheme="minorHAnsi" w:hAnsiTheme="minorHAnsi" w:cs="HelveticaNeueLTStd-Lt"/>
          <w:color w:val="000000"/>
          <w:szCs w:val="24"/>
          <w:lang w:val="en-GB"/>
        </w:rPr>
        <w:t xml:space="preserve">We successfully delivered </w:t>
      </w:r>
      <w:r>
        <w:rPr>
          <w:rFonts w:asciiTheme="minorHAnsi" w:hAnsiTheme="minorHAnsi" w:cs="HelveticaNeueLTStd-Lt"/>
          <w:color w:val="000000"/>
          <w:szCs w:val="24"/>
          <w:lang w:val="en-GB"/>
        </w:rPr>
        <w:t xml:space="preserve">all </w:t>
      </w:r>
      <w:r w:rsidRPr="005E7B4F">
        <w:rPr>
          <w:rFonts w:asciiTheme="minorHAnsi" w:hAnsiTheme="minorHAnsi" w:cs="HelveticaNeueLTStd-Lt"/>
          <w:color w:val="000000"/>
          <w:szCs w:val="24"/>
          <w:lang w:val="en-GB"/>
        </w:rPr>
        <w:t>the deals in our</w:t>
      </w:r>
      <w:r>
        <w:rPr>
          <w:rFonts w:asciiTheme="minorHAnsi" w:hAnsiTheme="minorHAnsi" w:cs="HelveticaNeueLTStd-Lt"/>
          <w:color w:val="000000"/>
          <w:szCs w:val="24"/>
          <w:lang w:val="en-GB"/>
        </w:rPr>
        <w:t xml:space="preserve"> </w:t>
      </w:r>
      <w:proofErr w:type="spellStart"/>
      <w:r w:rsidR="005A2625">
        <w:rPr>
          <w:rFonts w:asciiTheme="minorHAnsi" w:hAnsiTheme="minorHAnsi" w:cs="HelveticaNeueLTStd-Lt"/>
          <w:color w:val="000000"/>
          <w:szCs w:val="24"/>
          <w:lang w:val="en-GB"/>
        </w:rPr>
        <w:t>newbuilding</w:t>
      </w:r>
      <w:proofErr w:type="spellEnd"/>
      <w:r w:rsidR="005A2625">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forward order book </w:t>
      </w:r>
      <w:r>
        <w:rPr>
          <w:rFonts w:asciiTheme="minorHAnsi" w:hAnsiTheme="minorHAnsi" w:cs="HelveticaNeueLTStd-Lt"/>
          <w:color w:val="000000"/>
          <w:szCs w:val="24"/>
          <w:lang w:val="en-GB"/>
        </w:rPr>
        <w:t xml:space="preserve">for the year </w:t>
      </w:r>
      <w:r w:rsidRPr="005E7B4F">
        <w:rPr>
          <w:rFonts w:asciiTheme="minorHAnsi" w:hAnsiTheme="minorHAnsi" w:cs="HelveticaNeueLTStd-Lt"/>
          <w:color w:val="000000"/>
          <w:szCs w:val="24"/>
          <w:lang w:val="en-GB"/>
        </w:rPr>
        <w:t xml:space="preserve">but </w:t>
      </w:r>
      <w:r>
        <w:rPr>
          <w:rFonts w:asciiTheme="minorHAnsi" w:hAnsiTheme="minorHAnsi" w:cs="HelveticaNeueLTStd-Lt"/>
          <w:color w:val="000000"/>
          <w:szCs w:val="24"/>
          <w:lang w:val="en-GB"/>
        </w:rPr>
        <w:t>new</w:t>
      </w:r>
      <w:r w:rsidRPr="005E7B4F">
        <w:rPr>
          <w:rFonts w:asciiTheme="minorHAnsi" w:hAnsiTheme="minorHAnsi" w:cs="HelveticaNeueLTStd-Lt"/>
          <w:color w:val="000000"/>
          <w:szCs w:val="24"/>
          <w:lang w:val="en-GB"/>
        </w:rPr>
        <w:t xml:space="preserve"> ordering during the year </w:t>
      </w:r>
      <w:r>
        <w:rPr>
          <w:rFonts w:asciiTheme="minorHAnsi" w:hAnsiTheme="minorHAnsi" w:cs="HelveticaNeueLTStd-Lt"/>
          <w:color w:val="000000"/>
          <w:szCs w:val="24"/>
          <w:lang w:val="en-GB"/>
        </w:rPr>
        <w:t xml:space="preserve">in general </w:t>
      </w:r>
      <w:r w:rsidRPr="005E7B4F">
        <w:rPr>
          <w:rFonts w:asciiTheme="minorHAnsi" w:hAnsiTheme="minorHAnsi" w:cs="HelveticaNeueLTStd-Lt"/>
          <w:color w:val="000000"/>
          <w:szCs w:val="24"/>
          <w:lang w:val="en-GB"/>
        </w:rPr>
        <w:t xml:space="preserve">has been thin. There has been activity in the </w:t>
      </w:r>
      <w:proofErr w:type="spellStart"/>
      <w:r>
        <w:rPr>
          <w:rFonts w:asciiTheme="minorHAnsi" w:hAnsiTheme="minorHAnsi" w:cs="HelveticaNeueLTStd-Lt"/>
          <w:color w:val="000000"/>
          <w:szCs w:val="24"/>
          <w:lang w:val="en-GB"/>
        </w:rPr>
        <w:t>n</w:t>
      </w:r>
      <w:r w:rsidRPr="005E7B4F">
        <w:rPr>
          <w:rFonts w:asciiTheme="minorHAnsi" w:hAnsiTheme="minorHAnsi" w:cs="HelveticaNeueLTStd-Lt"/>
          <w:color w:val="000000"/>
          <w:szCs w:val="24"/>
          <w:lang w:val="en-GB"/>
        </w:rPr>
        <w:t>ew</w:t>
      </w:r>
      <w:r>
        <w:rPr>
          <w:rFonts w:asciiTheme="minorHAnsi" w:hAnsiTheme="minorHAnsi" w:cs="HelveticaNeueLTStd-Lt"/>
          <w:color w:val="000000"/>
          <w:szCs w:val="24"/>
          <w:lang w:val="en-GB"/>
        </w:rPr>
        <w:t>b</w:t>
      </w:r>
      <w:r w:rsidRPr="005E7B4F">
        <w:rPr>
          <w:rFonts w:asciiTheme="minorHAnsi" w:hAnsiTheme="minorHAnsi" w:cs="HelveticaNeueLTStd-Lt"/>
          <w:color w:val="000000"/>
          <w:szCs w:val="24"/>
          <w:lang w:val="en-GB"/>
        </w:rPr>
        <w:t>uilding</w:t>
      </w:r>
      <w:proofErr w:type="spellEnd"/>
      <w:r w:rsidRPr="005E7B4F">
        <w:rPr>
          <w:rFonts w:asciiTheme="minorHAnsi" w:hAnsiTheme="minorHAnsi" w:cs="HelveticaNeueLTStd-Lt"/>
          <w:color w:val="000000"/>
          <w:szCs w:val="24"/>
          <w:lang w:val="en-GB"/>
        </w:rPr>
        <w:t xml:space="preserve"> market</w:t>
      </w:r>
      <w:r>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but </w:t>
      </w:r>
      <w:r>
        <w:rPr>
          <w:rFonts w:asciiTheme="minorHAnsi" w:hAnsiTheme="minorHAnsi" w:cs="HelveticaNeueLTStd-Lt"/>
          <w:color w:val="000000"/>
          <w:szCs w:val="24"/>
          <w:lang w:val="en-GB"/>
        </w:rPr>
        <w:t xml:space="preserve">due to the already over ordered market </w:t>
      </w:r>
      <w:r w:rsidRPr="005E7B4F">
        <w:rPr>
          <w:rFonts w:asciiTheme="minorHAnsi" w:hAnsiTheme="minorHAnsi" w:cs="HelveticaNeueLTStd-Lt"/>
          <w:color w:val="000000"/>
          <w:szCs w:val="24"/>
          <w:lang w:val="en-GB"/>
        </w:rPr>
        <w:t>the number of transactions has been limited</w:t>
      </w:r>
      <w:r>
        <w:rPr>
          <w:rFonts w:asciiTheme="minorHAnsi" w:hAnsiTheme="minorHAnsi" w:cs="HelveticaNeueLTStd-Lt"/>
          <w:color w:val="000000"/>
          <w:szCs w:val="24"/>
          <w:lang w:val="en-GB"/>
        </w:rPr>
        <w:t xml:space="preserve">. The </w:t>
      </w:r>
      <w:proofErr w:type="gramStart"/>
      <w:r>
        <w:rPr>
          <w:rFonts w:asciiTheme="minorHAnsi" w:hAnsiTheme="minorHAnsi" w:cs="HelveticaNeueLTStd-Lt"/>
          <w:color w:val="000000"/>
          <w:szCs w:val="24"/>
          <w:lang w:val="en-GB"/>
        </w:rPr>
        <w:t>new year</w:t>
      </w:r>
      <w:proofErr w:type="gramEnd"/>
      <w:r>
        <w:rPr>
          <w:rFonts w:asciiTheme="minorHAnsi" w:hAnsiTheme="minorHAnsi" w:cs="HelveticaNeueLTStd-Lt"/>
          <w:color w:val="000000"/>
          <w:szCs w:val="24"/>
          <w:lang w:val="en-GB"/>
        </w:rPr>
        <w:t xml:space="preserve"> has started positively with </w:t>
      </w:r>
      <w:r w:rsidR="00A617CC">
        <w:rPr>
          <w:rFonts w:asciiTheme="minorHAnsi" w:hAnsiTheme="minorHAnsi" w:cs="HelveticaNeueLTStd-Lt"/>
          <w:color w:val="000000"/>
          <w:szCs w:val="24"/>
          <w:lang w:val="en-GB"/>
        </w:rPr>
        <w:t>a</w:t>
      </w:r>
      <w:r>
        <w:rPr>
          <w:rFonts w:asciiTheme="minorHAnsi" w:hAnsiTheme="minorHAnsi" w:cs="HelveticaNeueLTStd-Lt"/>
          <w:color w:val="000000"/>
          <w:szCs w:val="24"/>
          <w:lang w:val="en-GB"/>
        </w:rPr>
        <w:t xml:space="preserve"> number of transactions </w:t>
      </w:r>
      <w:r w:rsidR="005A2625">
        <w:rPr>
          <w:rFonts w:asciiTheme="minorHAnsi" w:hAnsiTheme="minorHAnsi" w:cs="HelveticaNeueLTStd-Lt"/>
          <w:color w:val="000000"/>
          <w:szCs w:val="24"/>
          <w:lang w:val="en-GB"/>
        </w:rPr>
        <w:t xml:space="preserve">already </w:t>
      </w:r>
      <w:r>
        <w:rPr>
          <w:rFonts w:asciiTheme="minorHAnsi" w:hAnsiTheme="minorHAnsi" w:cs="HelveticaNeueLTStd-Lt"/>
          <w:color w:val="000000"/>
          <w:szCs w:val="24"/>
          <w:lang w:val="en-GB"/>
        </w:rPr>
        <w:t>concluded.</w:t>
      </w:r>
    </w:p>
    <w:p w:rsidR="00EE0AC2" w:rsidRPr="00F41101" w:rsidRDefault="00EE0AC2" w:rsidP="00E43AD8">
      <w:pPr>
        <w:autoSpaceDE w:val="0"/>
        <w:autoSpaceDN w:val="0"/>
        <w:adjustRightInd w:val="0"/>
        <w:jc w:val="both"/>
        <w:rPr>
          <w:rFonts w:asciiTheme="minorHAnsi" w:hAnsiTheme="minorHAnsi" w:cs="HelveticaNeueLTStd-Bd"/>
          <w:b/>
          <w:i/>
          <w:color w:val="000000"/>
          <w:szCs w:val="24"/>
          <w:lang w:val="en-GB"/>
        </w:rPr>
      </w:pPr>
    </w:p>
    <w:p w:rsidR="005E7B4F" w:rsidRDefault="005E7B4F" w:rsidP="00E43AD8">
      <w:pPr>
        <w:autoSpaceDE w:val="0"/>
        <w:autoSpaceDN w:val="0"/>
        <w:adjustRightInd w:val="0"/>
        <w:jc w:val="both"/>
        <w:rPr>
          <w:rFonts w:asciiTheme="minorHAnsi" w:hAnsiTheme="minorHAnsi" w:cs="HelveticaNeueLTStd-Lt"/>
          <w:color w:val="000000"/>
          <w:szCs w:val="24"/>
          <w:lang w:val="en-GB"/>
        </w:rPr>
      </w:pPr>
      <w:r w:rsidRPr="005E7B4F">
        <w:rPr>
          <w:rFonts w:asciiTheme="minorHAnsi" w:hAnsiTheme="minorHAnsi" w:cs="HelveticaNeueLTStd-Lt"/>
          <w:color w:val="000000"/>
          <w:szCs w:val="24"/>
          <w:lang w:val="en-GB"/>
        </w:rPr>
        <w:t xml:space="preserve">The second-hand </w:t>
      </w:r>
      <w:r w:rsidR="007D1C01">
        <w:rPr>
          <w:rFonts w:asciiTheme="minorHAnsi" w:hAnsiTheme="minorHAnsi" w:cs="HelveticaNeueLTStd-Lt"/>
          <w:color w:val="000000"/>
          <w:szCs w:val="24"/>
          <w:lang w:val="en-GB"/>
        </w:rPr>
        <w:t xml:space="preserve">market for both </w:t>
      </w:r>
      <w:r w:rsidRPr="005E7B4F">
        <w:rPr>
          <w:rFonts w:asciiTheme="minorHAnsi" w:hAnsiTheme="minorHAnsi" w:cs="HelveticaNeueLTStd-Lt"/>
          <w:color w:val="000000"/>
          <w:szCs w:val="24"/>
          <w:lang w:val="en-GB"/>
        </w:rPr>
        <w:t>bulkers and tankers has been</w:t>
      </w:r>
      <w:r w:rsidR="003452AB">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very challenging, with prices continuing to fall and availability</w:t>
      </w:r>
      <w:r w:rsidR="003452AB">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of finance tending to limit the size of deal. Against this</w:t>
      </w:r>
      <w:r w:rsidR="003452AB">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background we have performed well, increasing the number</w:t>
      </w:r>
      <w:r w:rsidR="003452AB">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of transactions during the year by more than two thirds on the</w:t>
      </w:r>
      <w:r w:rsidR="003452AB">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prior year. However</w:t>
      </w:r>
      <w:r w:rsidR="005A2625">
        <w:rPr>
          <w:rFonts w:asciiTheme="minorHAnsi" w:hAnsiTheme="minorHAnsi" w:cs="HelveticaNeueLTStd-Lt"/>
          <w:color w:val="000000"/>
          <w:szCs w:val="24"/>
          <w:lang w:val="en-GB"/>
        </w:rPr>
        <w:t>,</w:t>
      </w:r>
      <w:r w:rsidRPr="005E7B4F">
        <w:rPr>
          <w:rFonts w:asciiTheme="minorHAnsi" w:hAnsiTheme="minorHAnsi" w:cs="HelveticaNeueLTStd-Lt"/>
          <w:color w:val="000000"/>
          <w:szCs w:val="24"/>
          <w:lang w:val="en-GB"/>
        </w:rPr>
        <w:t xml:space="preserve"> the </w:t>
      </w:r>
      <w:r w:rsidR="007D1C01">
        <w:rPr>
          <w:rFonts w:asciiTheme="minorHAnsi" w:hAnsiTheme="minorHAnsi" w:cs="HelveticaNeueLTStd-Lt"/>
          <w:color w:val="000000"/>
          <w:szCs w:val="24"/>
          <w:lang w:val="en-GB"/>
        </w:rPr>
        <w:t xml:space="preserve">commissions </w:t>
      </w:r>
      <w:r w:rsidRPr="005E7B4F">
        <w:rPr>
          <w:rFonts w:asciiTheme="minorHAnsi" w:hAnsiTheme="minorHAnsi" w:cs="HelveticaNeueLTStd-Lt"/>
          <w:color w:val="000000"/>
          <w:szCs w:val="24"/>
          <w:lang w:val="en-GB"/>
        </w:rPr>
        <w:t xml:space="preserve">achieved </w:t>
      </w:r>
      <w:r w:rsidR="007D1C01">
        <w:rPr>
          <w:rFonts w:asciiTheme="minorHAnsi" w:hAnsiTheme="minorHAnsi" w:cs="HelveticaNeueLTStd-Lt"/>
          <w:color w:val="000000"/>
          <w:szCs w:val="24"/>
          <w:lang w:val="en-GB"/>
        </w:rPr>
        <w:t>reflected the lower prices</w:t>
      </w:r>
      <w:r w:rsidR="00EE0AC2">
        <w:rPr>
          <w:rFonts w:asciiTheme="minorHAnsi" w:hAnsiTheme="minorHAnsi" w:cs="HelveticaNeueLTStd-Lt"/>
          <w:color w:val="000000"/>
          <w:szCs w:val="24"/>
          <w:lang w:val="en-GB"/>
        </w:rPr>
        <w:t xml:space="preserve"> and the smaller average tonnage of transactions</w:t>
      </w:r>
      <w:r w:rsidR="00A54B2E">
        <w:rPr>
          <w:rFonts w:asciiTheme="minorHAnsi" w:hAnsiTheme="minorHAnsi" w:cs="HelveticaNeueLTStd-Lt"/>
          <w:color w:val="000000"/>
          <w:szCs w:val="24"/>
          <w:lang w:val="en-GB"/>
        </w:rPr>
        <w:t>.</w:t>
      </w:r>
    </w:p>
    <w:p w:rsidR="00FD4870" w:rsidRDefault="00FD4870" w:rsidP="00E43AD8">
      <w:pPr>
        <w:autoSpaceDE w:val="0"/>
        <w:autoSpaceDN w:val="0"/>
        <w:adjustRightInd w:val="0"/>
        <w:jc w:val="both"/>
        <w:rPr>
          <w:rFonts w:asciiTheme="minorHAnsi" w:hAnsiTheme="minorHAnsi" w:cs="HelveticaNeueLTStd-Lt"/>
          <w:color w:val="000000"/>
          <w:szCs w:val="24"/>
          <w:lang w:val="en-GB"/>
        </w:rPr>
      </w:pPr>
    </w:p>
    <w:p w:rsidR="003452AB" w:rsidRDefault="007D1C01" w:rsidP="000055FD">
      <w:pPr>
        <w:autoSpaceDE w:val="0"/>
        <w:autoSpaceDN w:val="0"/>
        <w:adjustRightInd w:val="0"/>
        <w:spacing w:after="120"/>
        <w:jc w:val="both"/>
        <w:rPr>
          <w:rFonts w:asciiTheme="minorHAnsi" w:hAnsiTheme="minorHAnsi" w:cs="HelveticaNeueLTStd-Lt"/>
          <w:color w:val="000000"/>
          <w:szCs w:val="24"/>
          <w:lang w:val="en-GB"/>
        </w:rPr>
      </w:pPr>
      <w:r>
        <w:rPr>
          <w:rFonts w:asciiTheme="minorHAnsi" w:hAnsiTheme="minorHAnsi" w:cs="HelveticaNeueLTStd-Lt"/>
          <w:color w:val="000000"/>
          <w:szCs w:val="24"/>
          <w:lang w:val="en-GB"/>
        </w:rPr>
        <w:t>Not surprisingly d</w:t>
      </w:r>
      <w:r w:rsidR="005E7B4F" w:rsidRPr="005E7B4F">
        <w:rPr>
          <w:rFonts w:asciiTheme="minorHAnsi" w:hAnsiTheme="minorHAnsi" w:cs="HelveticaNeueLTStd-Lt"/>
          <w:color w:val="000000"/>
          <w:szCs w:val="24"/>
          <w:lang w:val="en-GB"/>
        </w:rPr>
        <w:t xml:space="preserve">emolition </w:t>
      </w:r>
      <w:r>
        <w:rPr>
          <w:rFonts w:asciiTheme="minorHAnsi" w:hAnsiTheme="minorHAnsi" w:cs="HelveticaNeueLTStd-Lt"/>
          <w:color w:val="000000"/>
          <w:szCs w:val="24"/>
          <w:lang w:val="en-GB"/>
        </w:rPr>
        <w:t>of older tonnage is</w:t>
      </w:r>
      <w:r w:rsidR="005E7B4F" w:rsidRPr="005E7B4F">
        <w:rPr>
          <w:rFonts w:asciiTheme="minorHAnsi" w:hAnsiTheme="minorHAnsi" w:cs="HelveticaNeueLTStd-Lt"/>
          <w:color w:val="000000"/>
          <w:szCs w:val="24"/>
          <w:lang w:val="en-GB"/>
        </w:rPr>
        <w:t xml:space="preserve"> grow</w:t>
      </w:r>
      <w:r>
        <w:rPr>
          <w:rFonts w:asciiTheme="minorHAnsi" w:hAnsiTheme="minorHAnsi" w:cs="HelveticaNeueLTStd-Lt"/>
          <w:color w:val="000000"/>
          <w:szCs w:val="24"/>
          <w:lang w:val="en-GB"/>
        </w:rPr>
        <w:t>ing</w:t>
      </w:r>
      <w:r w:rsidR="005E7B4F" w:rsidRPr="005E7B4F">
        <w:rPr>
          <w:rFonts w:asciiTheme="minorHAnsi" w:hAnsiTheme="minorHAnsi" w:cs="HelveticaNeueLTStd-Lt"/>
          <w:color w:val="000000"/>
          <w:szCs w:val="24"/>
          <w:lang w:val="en-GB"/>
        </w:rPr>
        <w:t xml:space="preserve"> and our</w:t>
      </w:r>
      <w:r w:rsidR="003452AB">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Demolition team sent 80% more ships for</w:t>
      </w:r>
      <w:r w:rsidR="003452AB">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demolition this year as compared with last</w:t>
      </w:r>
      <w:r w:rsidR="00A54B2E">
        <w:rPr>
          <w:rFonts w:asciiTheme="minorHAnsi" w:hAnsiTheme="minorHAnsi" w:cs="HelveticaNeueLTStd-Lt"/>
          <w:color w:val="000000"/>
          <w:szCs w:val="24"/>
          <w:lang w:val="en-GB"/>
        </w:rPr>
        <w:t xml:space="preserve"> year</w:t>
      </w:r>
      <w:r w:rsidR="005E7B4F" w:rsidRPr="005E7B4F">
        <w:rPr>
          <w:rFonts w:asciiTheme="minorHAnsi" w:hAnsiTheme="minorHAnsi" w:cs="HelveticaNeueLTStd-Lt"/>
          <w:color w:val="000000"/>
          <w:szCs w:val="24"/>
          <w:lang w:val="en-GB"/>
        </w:rPr>
        <w:t>.</w:t>
      </w:r>
      <w:r>
        <w:rPr>
          <w:rFonts w:asciiTheme="minorHAnsi" w:hAnsiTheme="minorHAnsi" w:cs="HelveticaNeueLTStd-Lt"/>
          <w:color w:val="000000"/>
          <w:szCs w:val="24"/>
          <w:lang w:val="en-GB"/>
        </w:rPr>
        <w:t xml:space="preserve"> It is worth noting that the average age of vessels being demolished is getting slightly younger which will hopefully contribute to improved market condition</w:t>
      </w:r>
      <w:r w:rsidR="00A54B2E">
        <w:rPr>
          <w:rFonts w:asciiTheme="minorHAnsi" w:hAnsiTheme="minorHAnsi" w:cs="HelveticaNeueLTStd-Lt"/>
          <w:color w:val="000000"/>
          <w:szCs w:val="24"/>
          <w:lang w:val="en-GB"/>
        </w:rPr>
        <w:t>s</w:t>
      </w:r>
      <w:r>
        <w:rPr>
          <w:rFonts w:asciiTheme="minorHAnsi" w:hAnsiTheme="minorHAnsi" w:cs="HelveticaNeueLTStd-Lt"/>
          <w:color w:val="000000"/>
          <w:szCs w:val="24"/>
          <w:lang w:val="en-GB"/>
        </w:rPr>
        <w:t>.</w:t>
      </w:r>
    </w:p>
    <w:p w:rsidR="003452AB" w:rsidRDefault="003452AB" w:rsidP="00E43AD8">
      <w:pPr>
        <w:autoSpaceDE w:val="0"/>
        <w:autoSpaceDN w:val="0"/>
        <w:adjustRightInd w:val="0"/>
        <w:jc w:val="both"/>
        <w:rPr>
          <w:rFonts w:asciiTheme="minorHAnsi" w:hAnsiTheme="minorHAnsi" w:cs="HelveticaNeueLTStd-Lt"/>
          <w:color w:val="000000"/>
          <w:szCs w:val="24"/>
          <w:lang w:val="en-GB"/>
        </w:rPr>
      </w:pPr>
    </w:p>
    <w:p w:rsidR="005E7B4F" w:rsidRPr="003452AB" w:rsidRDefault="005E7B4F" w:rsidP="00E43AD8">
      <w:pPr>
        <w:autoSpaceDE w:val="0"/>
        <w:autoSpaceDN w:val="0"/>
        <w:adjustRightInd w:val="0"/>
        <w:jc w:val="both"/>
        <w:rPr>
          <w:rFonts w:asciiTheme="minorHAnsi" w:hAnsiTheme="minorHAnsi" w:cs="HelveticaNeueLTStd-Bd"/>
          <w:b/>
          <w:szCs w:val="24"/>
          <w:lang w:val="en-GB"/>
        </w:rPr>
      </w:pPr>
      <w:r w:rsidRPr="003452AB">
        <w:rPr>
          <w:rFonts w:asciiTheme="minorHAnsi" w:hAnsiTheme="minorHAnsi" w:cs="HelveticaNeueLTStd-Bd"/>
          <w:b/>
          <w:szCs w:val="24"/>
          <w:lang w:val="en-GB"/>
        </w:rPr>
        <w:t>Technical</w:t>
      </w:r>
      <w:r w:rsidR="00C02146">
        <w:rPr>
          <w:rFonts w:asciiTheme="minorHAnsi" w:hAnsiTheme="minorHAnsi" w:cs="HelveticaNeueLTStd-Bd"/>
          <w:b/>
          <w:szCs w:val="24"/>
          <w:lang w:val="en-GB"/>
        </w:rPr>
        <w:t xml:space="preserve"> – Braemar Technical Services</w:t>
      </w:r>
    </w:p>
    <w:p w:rsidR="005E7B4F" w:rsidRDefault="00D95419" w:rsidP="00E43AD8">
      <w:pPr>
        <w:autoSpaceDE w:val="0"/>
        <w:autoSpaceDN w:val="0"/>
        <w:adjustRightInd w:val="0"/>
        <w:jc w:val="both"/>
        <w:rPr>
          <w:rFonts w:asciiTheme="minorHAnsi" w:hAnsiTheme="minorHAnsi" w:cs="HelveticaNeueLTStd-Lt"/>
          <w:szCs w:val="24"/>
          <w:lang w:val="en-GB"/>
        </w:rPr>
      </w:pPr>
      <w:r>
        <w:rPr>
          <w:rFonts w:asciiTheme="minorHAnsi" w:hAnsiTheme="minorHAnsi" w:cs="HelveticaNeueLTStd-Lt"/>
          <w:szCs w:val="24"/>
          <w:lang w:val="en-GB"/>
        </w:rPr>
        <w:t>Braemar Technical Services</w:t>
      </w:r>
      <w:r w:rsidR="005E7B4F" w:rsidRPr="005E7B4F">
        <w:rPr>
          <w:rFonts w:asciiTheme="minorHAnsi" w:hAnsiTheme="minorHAnsi" w:cs="HelveticaNeueLTStd-Lt"/>
          <w:szCs w:val="24"/>
          <w:lang w:val="en-GB"/>
        </w:rPr>
        <w:t xml:space="preserve"> has had an excellent year with sales</w:t>
      </w:r>
      <w:r w:rsidR="003452AB">
        <w:rPr>
          <w:rFonts w:asciiTheme="minorHAnsi" w:hAnsiTheme="minorHAnsi" w:cs="HelveticaNeueLTStd-Lt"/>
          <w:szCs w:val="24"/>
          <w:lang w:val="en-GB"/>
        </w:rPr>
        <w:t xml:space="preserve"> </w:t>
      </w:r>
      <w:r w:rsidR="005E7B4F" w:rsidRPr="005E7B4F">
        <w:rPr>
          <w:rFonts w:asciiTheme="minorHAnsi" w:hAnsiTheme="minorHAnsi" w:cs="HelveticaNeueLTStd-Lt"/>
          <w:szCs w:val="24"/>
          <w:lang w:val="en-GB"/>
        </w:rPr>
        <w:t>growing by 15%. Approximately</w:t>
      </w:r>
      <w:r w:rsidR="00B96428">
        <w:rPr>
          <w:rFonts w:asciiTheme="minorHAnsi" w:hAnsiTheme="minorHAnsi" w:cs="HelveticaNeueLTStd-Lt"/>
          <w:szCs w:val="24"/>
          <w:lang w:val="en-GB"/>
        </w:rPr>
        <w:t xml:space="preserve"> one fifth</w:t>
      </w:r>
      <w:r w:rsidR="005E7B4F" w:rsidRPr="005E7B4F">
        <w:rPr>
          <w:rFonts w:asciiTheme="minorHAnsi" w:hAnsiTheme="minorHAnsi" w:cs="HelveticaNeueLTStd-Lt"/>
          <w:szCs w:val="24"/>
          <w:lang w:val="en-GB"/>
        </w:rPr>
        <w:t xml:space="preserve"> of this growth is the full</w:t>
      </w:r>
      <w:r w:rsidR="003452AB">
        <w:rPr>
          <w:rFonts w:asciiTheme="minorHAnsi" w:hAnsiTheme="minorHAnsi" w:cs="HelveticaNeueLTStd-Lt"/>
          <w:szCs w:val="24"/>
          <w:lang w:val="en-GB"/>
        </w:rPr>
        <w:t xml:space="preserve"> </w:t>
      </w:r>
      <w:r w:rsidR="005E7B4F" w:rsidRPr="005E7B4F">
        <w:rPr>
          <w:rFonts w:asciiTheme="minorHAnsi" w:hAnsiTheme="minorHAnsi" w:cs="HelveticaNeueLTStd-Lt"/>
          <w:szCs w:val="24"/>
          <w:lang w:val="en-GB"/>
        </w:rPr>
        <w:t>year impact of the acquisition of Braemar SA and Braemar</w:t>
      </w:r>
      <w:r w:rsidR="003452AB">
        <w:rPr>
          <w:rFonts w:asciiTheme="minorHAnsi" w:hAnsiTheme="minorHAnsi" w:cs="HelveticaNeueLTStd-Lt"/>
          <w:szCs w:val="24"/>
          <w:lang w:val="en-GB"/>
        </w:rPr>
        <w:t xml:space="preserve"> </w:t>
      </w:r>
      <w:r w:rsidR="005E7B4F" w:rsidRPr="005E7B4F">
        <w:rPr>
          <w:rFonts w:asciiTheme="minorHAnsi" w:hAnsiTheme="minorHAnsi" w:cs="HelveticaNeueLTStd-Lt"/>
          <w:szCs w:val="24"/>
          <w:lang w:val="en-GB"/>
        </w:rPr>
        <w:t>Casbarian, with the majority of the rest of the growth coming</w:t>
      </w:r>
      <w:r w:rsidR="003452AB">
        <w:rPr>
          <w:rFonts w:asciiTheme="minorHAnsi" w:hAnsiTheme="minorHAnsi" w:cs="HelveticaNeueLTStd-Lt"/>
          <w:szCs w:val="24"/>
          <w:lang w:val="en-GB"/>
        </w:rPr>
        <w:t xml:space="preserve"> </w:t>
      </w:r>
      <w:r w:rsidR="005E7B4F" w:rsidRPr="005E7B4F">
        <w:rPr>
          <w:rFonts w:asciiTheme="minorHAnsi" w:hAnsiTheme="minorHAnsi" w:cs="HelveticaNeueLTStd-Lt"/>
          <w:szCs w:val="24"/>
          <w:lang w:val="en-GB"/>
        </w:rPr>
        <w:t>from Braemar Offshore. This growth combined with a focus</w:t>
      </w:r>
      <w:r w:rsidR="003452AB">
        <w:rPr>
          <w:rFonts w:asciiTheme="minorHAnsi" w:hAnsiTheme="minorHAnsi" w:cs="HelveticaNeueLTStd-Lt"/>
          <w:szCs w:val="24"/>
          <w:lang w:val="en-GB"/>
        </w:rPr>
        <w:t xml:space="preserve"> </w:t>
      </w:r>
      <w:r w:rsidR="005E7B4F" w:rsidRPr="005E7B4F">
        <w:rPr>
          <w:rFonts w:asciiTheme="minorHAnsi" w:hAnsiTheme="minorHAnsi" w:cs="HelveticaNeueLTStd-Lt"/>
          <w:szCs w:val="24"/>
          <w:lang w:val="en-GB"/>
        </w:rPr>
        <w:t>on cost-control across all the businesses, has resulted in a</w:t>
      </w:r>
      <w:r w:rsidR="003452AB">
        <w:rPr>
          <w:rFonts w:asciiTheme="minorHAnsi" w:hAnsiTheme="minorHAnsi" w:cs="HelveticaNeueLTStd-Lt"/>
          <w:szCs w:val="24"/>
          <w:lang w:val="en-GB"/>
        </w:rPr>
        <w:t xml:space="preserve"> </w:t>
      </w:r>
      <w:r w:rsidR="005E7B4F" w:rsidRPr="005E7B4F">
        <w:rPr>
          <w:rFonts w:asciiTheme="minorHAnsi" w:hAnsiTheme="minorHAnsi" w:cs="HelveticaNeueLTStd-Lt"/>
          <w:szCs w:val="24"/>
          <w:lang w:val="en-GB"/>
        </w:rPr>
        <w:t>near doubling of divisional operating profit to £3.4 million.</w:t>
      </w:r>
      <w:r w:rsidR="003452AB">
        <w:rPr>
          <w:rFonts w:asciiTheme="minorHAnsi" w:hAnsiTheme="minorHAnsi" w:cs="HelveticaNeueLTStd-Lt"/>
          <w:szCs w:val="24"/>
          <w:lang w:val="en-GB"/>
        </w:rPr>
        <w:t xml:space="preserve"> </w:t>
      </w:r>
      <w:r w:rsidR="005E7B4F" w:rsidRPr="005E7B4F">
        <w:rPr>
          <w:rFonts w:asciiTheme="minorHAnsi" w:hAnsiTheme="minorHAnsi" w:cs="HelveticaNeueLTStd-Lt"/>
          <w:szCs w:val="24"/>
          <w:lang w:val="en-GB"/>
        </w:rPr>
        <w:t>The cross-fertilisation between businesses has started to</w:t>
      </w:r>
      <w:r w:rsidR="00133730">
        <w:rPr>
          <w:rFonts w:asciiTheme="minorHAnsi" w:hAnsiTheme="minorHAnsi" w:cs="HelveticaNeueLTStd-Lt"/>
          <w:szCs w:val="24"/>
          <w:lang w:val="en-GB"/>
        </w:rPr>
        <w:t xml:space="preserve"> </w:t>
      </w:r>
      <w:r w:rsidR="005E7B4F" w:rsidRPr="005E7B4F">
        <w:rPr>
          <w:rFonts w:asciiTheme="minorHAnsi" w:hAnsiTheme="minorHAnsi" w:cs="HelveticaNeueLTStd-Lt"/>
          <w:szCs w:val="24"/>
          <w:lang w:val="en-GB"/>
        </w:rPr>
        <w:t>bear fruit. This year we have seen co-operation on project</w:t>
      </w:r>
      <w:r w:rsidR="00133730">
        <w:rPr>
          <w:rFonts w:asciiTheme="minorHAnsi" w:hAnsiTheme="minorHAnsi" w:cs="HelveticaNeueLTStd-Lt"/>
          <w:szCs w:val="24"/>
          <w:lang w:val="en-GB"/>
        </w:rPr>
        <w:t xml:space="preserve"> </w:t>
      </w:r>
      <w:r w:rsidR="005E7B4F" w:rsidRPr="005E7B4F">
        <w:rPr>
          <w:rFonts w:asciiTheme="minorHAnsi" w:hAnsiTheme="minorHAnsi" w:cs="HelveticaNeueLTStd-Lt"/>
          <w:szCs w:val="24"/>
          <w:lang w:val="en-GB"/>
        </w:rPr>
        <w:t>bidding and delivery, passing on of work and internal</w:t>
      </w:r>
      <w:r w:rsidR="00133730">
        <w:rPr>
          <w:rFonts w:asciiTheme="minorHAnsi" w:hAnsiTheme="minorHAnsi" w:cs="HelveticaNeueLTStd-Lt"/>
          <w:szCs w:val="24"/>
          <w:lang w:val="en-GB"/>
        </w:rPr>
        <w:t xml:space="preserve"> </w:t>
      </w:r>
      <w:r w:rsidR="005E7B4F" w:rsidRPr="005E7B4F">
        <w:rPr>
          <w:rFonts w:asciiTheme="minorHAnsi" w:hAnsiTheme="minorHAnsi" w:cs="HelveticaNeueLTStd-Lt"/>
          <w:szCs w:val="24"/>
          <w:lang w:val="en-GB"/>
        </w:rPr>
        <w:t>subcontracting of resource. We expect this co-operation to</w:t>
      </w:r>
      <w:r w:rsidR="00133730">
        <w:rPr>
          <w:rFonts w:asciiTheme="minorHAnsi" w:hAnsiTheme="minorHAnsi" w:cs="HelveticaNeueLTStd-Lt"/>
          <w:szCs w:val="24"/>
          <w:lang w:val="en-GB"/>
        </w:rPr>
        <w:t xml:space="preserve"> </w:t>
      </w:r>
      <w:r w:rsidR="005E7B4F" w:rsidRPr="005E7B4F">
        <w:rPr>
          <w:rFonts w:asciiTheme="minorHAnsi" w:hAnsiTheme="minorHAnsi" w:cs="HelveticaNeueLTStd-Lt"/>
          <w:szCs w:val="24"/>
          <w:lang w:val="en-GB"/>
        </w:rPr>
        <w:t xml:space="preserve">increase over the coming years and </w:t>
      </w:r>
      <w:r w:rsidR="00C02146">
        <w:rPr>
          <w:rFonts w:asciiTheme="minorHAnsi" w:hAnsiTheme="minorHAnsi" w:cs="HelveticaNeueLTStd-Lt"/>
          <w:szCs w:val="24"/>
          <w:lang w:val="en-GB"/>
        </w:rPr>
        <w:t xml:space="preserve">to </w:t>
      </w:r>
      <w:r w:rsidR="005E7B4F" w:rsidRPr="005E7B4F">
        <w:rPr>
          <w:rFonts w:asciiTheme="minorHAnsi" w:hAnsiTheme="minorHAnsi" w:cs="HelveticaNeueLTStd-Lt"/>
          <w:szCs w:val="24"/>
          <w:lang w:val="en-GB"/>
        </w:rPr>
        <w:t>also gain benefit from</w:t>
      </w:r>
      <w:r w:rsidR="00133730">
        <w:rPr>
          <w:rFonts w:asciiTheme="minorHAnsi" w:hAnsiTheme="minorHAnsi" w:cs="HelveticaNeueLTStd-Lt"/>
          <w:szCs w:val="24"/>
          <w:lang w:val="en-GB"/>
        </w:rPr>
        <w:t xml:space="preserve"> </w:t>
      </w:r>
      <w:r w:rsidR="005E7B4F" w:rsidRPr="005E7B4F">
        <w:rPr>
          <w:rFonts w:asciiTheme="minorHAnsi" w:hAnsiTheme="minorHAnsi" w:cs="HelveticaNeueLTStd-Lt"/>
          <w:szCs w:val="24"/>
          <w:lang w:val="en-GB"/>
        </w:rPr>
        <w:t>greater back-office synergies.</w:t>
      </w:r>
    </w:p>
    <w:p w:rsidR="00133730" w:rsidRPr="005E7B4F" w:rsidRDefault="00133730" w:rsidP="00E43AD8">
      <w:pPr>
        <w:autoSpaceDE w:val="0"/>
        <w:autoSpaceDN w:val="0"/>
        <w:adjustRightInd w:val="0"/>
        <w:jc w:val="both"/>
        <w:rPr>
          <w:rFonts w:asciiTheme="minorHAnsi" w:hAnsiTheme="minorHAnsi" w:cs="HelveticaNeueLTStd-Lt"/>
          <w:szCs w:val="24"/>
          <w:lang w:val="en-GB"/>
        </w:rPr>
      </w:pPr>
    </w:p>
    <w:p w:rsidR="005E7B4F" w:rsidRPr="00F41101" w:rsidRDefault="005E7B4F" w:rsidP="00E43AD8">
      <w:pPr>
        <w:autoSpaceDE w:val="0"/>
        <w:autoSpaceDN w:val="0"/>
        <w:adjustRightInd w:val="0"/>
        <w:jc w:val="both"/>
        <w:rPr>
          <w:rFonts w:asciiTheme="minorHAnsi" w:hAnsiTheme="minorHAnsi" w:cs="HelveticaNeueLTStd-Bd"/>
          <w:b/>
          <w:i/>
          <w:szCs w:val="24"/>
          <w:lang w:val="en-GB"/>
        </w:rPr>
      </w:pPr>
      <w:r w:rsidRPr="00F41101">
        <w:rPr>
          <w:rFonts w:asciiTheme="minorHAnsi" w:hAnsiTheme="minorHAnsi" w:cs="HelveticaNeueLTStd-Bd"/>
          <w:b/>
          <w:i/>
          <w:szCs w:val="24"/>
          <w:lang w:val="en-GB"/>
        </w:rPr>
        <w:t>Braemar Offshore</w:t>
      </w:r>
    </w:p>
    <w:p w:rsidR="005E7B4F" w:rsidRDefault="005E7B4F"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szCs w:val="24"/>
          <w:lang w:val="en-GB"/>
        </w:rPr>
        <w:t>Braemar Offshore has won a number of contracts to provide</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marine warranty surveys for long-term offshore energy</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contracts in the Asia Pacific region. These combined with</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the on-going vibrancy of the sector have helped deliver an</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18% growth in revenue. With the opening of an office in</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Thailand, the business now has a presence in eight Asia-Pacific</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countries. Staff numbers grew by 13% during the year to 140,</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mostly through growth in Indonesia, Malaysia, China and the</w:t>
      </w:r>
      <w:r w:rsidR="00F41101">
        <w:rPr>
          <w:rFonts w:asciiTheme="minorHAnsi" w:hAnsiTheme="minorHAnsi" w:cs="HelveticaNeueLTStd-Lt"/>
          <w:szCs w:val="24"/>
          <w:lang w:val="en-GB"/>
        </w:rPr>
        <w:t xml:space="preserve"> </w:t>
      </w:r>
      <w:r w:rsidRPr="005E7B4F">
        <w:rPr>
          <w:rFonts w:asciiTheme="minorHAnsi" w:hAnsiTheme="minorHAnsi" w:cs="HelveticaNeueLTStd-Lt"/>
          <w:szCs w:val="24"/>
          <w:lang w:val="en-GB"/>
        </w:rPr>
        <w:t>new office in Thailand. The market fo</w:t>
      </w:r>
      <w:r w:rsidR="00133730">
        <w:rPr>
          <w:rFonts w:asciiTheme="minorHAnsi" w:hAnsiTheme="minorHAnsi" w:cs="HelveticaNeueLTStd-Lt"/>
          <w:szCs w:val="24"/>
          <w:lang w:val="en-GB"/>
        </w:rPr>
        <w:t>r</w:t>
      </w:r>
      <w:r w:rsidRPr="005E7B4F">
        <w:rPr>
          <w:rFonts w:asciiTheme="minorHAnsi" w:hAnsiTheme="minorHAnsi" w:cs="HelveticaNeueLTStd-Lt"/>
          <w:szCs w:val="24"/>
          <w:lang w:val="en-GB"/>
        </w:rPr>
        <w:t xml:space="preserve"> </w:t>
      </w:r>
      <w:proofErr w:type="gramStart"/>
      <w:r w:rsidRPr="005E7B4F">
        <w:rPr>
          <w:rFonts w:asciiTheme="minorHAnsi" w:hAnsiTheme="minorHAnsi" w:cs="HelveticaNeueLTStd-Lt"/>
          <w:szCs w:val="24"/>
          <w:lang w:val="en-GB"/>
        </w:rPr>
        <w:t>Offshore</w:t>
      </w:r>
      <w:proofErr w:type="gramEnd"/>
      <w:r w:rsidRPr="005E7B4F">
        <w:rPr>
          <w:rFonts w:asciiTheme="minorHAnsi" w:hAnsiTheme="minorHAnsi" w:cs="HelveticaNeueLTStd-Lt"/>
          <w:szCs w:val="24"/>
          <w:lang w:val="en-GB"/>
        </w:rPr>
        <w:t xml:space="preserve"> engineering</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support continues to be strong and we are well placed to</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grow our share of that market.</w:t>
      </w:r>
    </w:p>
    <w:p w:rsidR="00133730" w:rsidRPr="005E7B4F" w:rsidRDefault="00133730" w:rsidP="00E43AD8">
      <w:pPr>
        <w:autoSpaceDE w:val="0"/>
        <w:autoSpaceDN w:val="0"/>
        <w:adjustRightInd w:val="0"/>
        <w:jc w:val="both"/>
        <w:rPr>
          <w:rFonts w:asciiTheme="minorHAnsi" w:hAnsiTheme="minorHAnsi" w:cs="HelveticaNeueLTStd-Lt"/>
          <w:szCs w:val="24"/>
          <w:lang w:val="en-GB"/>
        </w:rPr>
      </w:pPr>
    </w:p>
    <w:p w:rsidR="005E7B4F" w:rsidRPr="00F41101" w:rsidRDefault="005E7B4F" w:rsidP="00E43AD8">
      <w:pPr>
        <w:autoSpaceDE w:val="0"/>
        <w:autoSpaceDN w:val="0"/>
        <w:adjustRightInd w:val="0"/>
        <w:jc w:val="both"/>
        <w:rPr>
          <w:rFonts w:asciiTheme="minorHAnsi" w:hAnsiTheme="minorHAnsi" w:cs="HelveticaNeueLTStd-Bd"/>
          <w:b/>
          <w:i/>
          <w:szCs w:val="24"/>
          <w:lang w:val="en-GB"/>
        </w:rPr>
      </w:pPr>
      <w:r w:rsidRPr="00F41101">
        <w:rPr>
          <w:rFonts w:asciiTheme="minorHAnsi" w:hAnsiTheme="minorHAnsi" w:cs="HelveticaNeueLTStd-Bd"/>
          <w:b/>
          <w:i/>
          <w:szCs w:val="24"/>
          <w:lang w:val="en-GB"/>
        </w:rPr>
        <w:t>Braemar Adjusting</w:t>
      </w:r>
    </w:p>
    <w:p w:rsidR="005E7B4F" w:rsidRDefault="005E7B4F"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szCs w:val="24"/>
          <w:lang w:val="en-GB"/>
        </w:rPr>
        <w:t>Braemar Adjusting provides specialist insurance loss adjusting</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and consulting services to the upstream energy, downstream</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energy, power and mining sectors. A total of 47 staff </w:t>
      </w:r>
      <w:proofErr w:type="gramStart"/>
      <w:r w:rsidRPr="005E7B4F">
        <w:rPr>
          <w:rFonts w:asciiTheme="minorHAnsi" w:hAnsiTheme="minorHAnsi" w:cs="HelveticaNeueLTStd-Lt"/>
          <w:szCs w:val="24"/>
          <w:lang w:val="en-GB"/>
        </w:rPr>
        <w:t>are</w:t>
      </w:r>
      <w:proofErr w:type="gramEnd"/>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employed from a series of strategically located offices including</w:t>
      </w:r>
      <w:r w:rsidR="00B96428">
        <w:rPr>
          <w:rFonts w:asciiTheme="minorHAnsi" w:hAnsiTheme="minorHAnsi" w:cs="HelveticaNeueLTStd-Lt"/>
          <w:szCs w:val="24"/>
          <w:lang w:val="en-GB"/>
        </w:rPr>
        <w:t>:</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Calgary, Houston, Rio de Janeiro, Singapore and London.</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Further expansion is planned with the opening of a Dubai</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office in April 2013, to serve the Middle East and African</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region. The business has had a year of transition in 2012,</w:t>
      </w:r>
      <w:r w:rsidR="00F41101">
        <w:rPr>
          <w:rFonts w:asciiTheme="minorHAnsi" w:hAnsiTheme="minorHAnsi" w:cs="HelveticaNeueLTStd-Lt"/>
          <w:szCs w:val="24"/>
          <w:lang w:val="en-GB"/>
        </w:rPr>
        <w:t xml:space="preserve"> </w:t>
      </w:r>
      <w:r w:rsidRPr="005E7B4F">
        <w:rPr>
          <w:rFonts w:asciiTheme="minorHAnsi" w:hAnsiTheme="minorHAnsi" w:cs="HelveticaNeueLTStd-Lt"/>
          <w:szCs w:val="24"/>
          <w:lang w:val="en-GB"/>
        </w:rPr>
        <w:t>which included both the implementation of a new management</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structure and the sale of non-core Mexican and Latin</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American operations. Despite these changes the performance</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of the business </w:t>
      </w:r>
      <w:r w:rsidR="00B96428">
        <w:rPr>
          <w:rFonts w:asciiTheme="minorHAnsi" w:hAnsiTheme="minorHAnsi" w:cs="HelveticaNeueLTStd-Lt"/>
          <w:szCs w:val="24"/>
          <w:lang w:val="en-GB"/>
        </w:rPr>
        <w:t>w</w:t>
      </w:r>
      <w:r w:rsidRPr="005E7B4F">
        <w:rPr>
          <w:rFonts w:asciiTheme="minorHAnsi" w:hAnsiTheme="minorHAnsi" w:cs="HelveticaNeueLTStd-Lt"/>
          <w:szCs w:val="24"/>
          <w:lang w:val="en-GB"/>
        </w:rPr>
        <w:t>as stable and profitability improved. The</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implemented management changes are already </w:t>
      </w:r>
      <w:r w:rsidR="00133730">
        <w:rPr>
          <w:rFonts w:asciiTheme="minorHAnsi" w:hAnsiTheme="minorHAnsi" w:cs="HelveticaNeueLTStd-Lt"/>
          <w:szCs w:val="24"/>
          <w:lang w:val="en-GB"/>
        </w:rPr>
        <w:t>d</w:t>
      </w:r>
      <w:r w:rsidRPr="005E7B4F">
        <w:rPr>
          <w:rFonts w:asciiTheme="minorHAnsi" w:hAnsiTheme="minorHAnsi" w:cs="HelveticaNeueLTStd-Lt"/>
          <w:szCs w:val="24"/>
          <w:lang w:val="en-GB"/>
        </w:rPr>
        <w:t>elivering the</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desired benefits with each of our core offices holding a strong</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market position and a renewed focus on recruitment, training</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and succession planning, driving the business forward.</w:t>
      </w:r>
    </w:p>
    <w:p w:rsidR="00C02146" w:rsidRPr="005E7B4F" w:rsidRDefault="00C02146" w:rsidP="00E43AD8">
      <w:pPr>
        <w:autoSpaceDE w:val="0"/>
        <w:autoSpaceDN w:val="0"/>
        <w:adjustRightInd w:val="0"/>
        <w:jc w:val="both"/>
        <w:rPr>
          <w:rFonts w:asciiTheme="minorHAnsi" w:hAnsiTheme="minorHAnsi" w:cs="HelveticaNeueLTStd-Lt"/>
          <w:szCs w:val="24"/>
          <w:lang w:val="en-GB"/>
        </w:rPr>
      </w:pPr>
    </w:p>
    <w:p w:rsidR="005E7B4F" w:rsidRPr="00F41101" w:rsidRDefault="005E7B4F" w:rsidP="00E43AD8">
      <w:pPr>
        <w:autoSpaceDE w:val="0"/>
        <w:autoSpaceDN w:val="0"/>
        <w:adjustRightInd w:val="0"/>
        <w:jc w:val="both"/>
        <w:rPr>
          <w:rFonts w:asciiTheme="minorHAnsi" w:hAnsiTheme="minorHAnsi" w:cs="HelveticaNeueLTStd-Bd"/>
          <w:i/>
          <w:szCs w:val="24"/>
          <w:lang w:val="en-GB"/>
        </w:rPr>
      </w:pPr>
      <w:r w:rsidRPr="00F41101">
        <w:rPr>
          <w:rFonts w:asciiTheme="minorHAnsi" w:hAnsiTheme="minorHAnsi" w:cs="HelveticaNeueLTStd-Bd"/>
          <w:b/>
          <w:i/>
          <w:szCs w:val="24"/>
          <w:lang w:val="en-GB"/>
        </w:rPr>
        <w:lastRenderedPageBreak/>
        <w:t>Braemar (incorporating the Salvage Association) –</w:t>
      </w:r>
      <w:r w:rsidR="00133730" w:rsidRPr="00F41101">
        <w:rPr>
          <w:rFonts w:asciiTheme="minorHAnsi" w:hAnsiTheme="minorHAnsi" w:cs="HelveticaNeueLTStd-Bd"/>
          <w:b/>
          <w:i/>
          <w:szCs w:val="24"/>
          <w:lang w:val="en-GB"/>
        </w:rPr>
        <w:t xml:space="preserve"> </w:t>
      </w:r>
      <w:r w:rsidRPr="00F41101">
        <w:rPr>
          <w:rFonts w:asciiTheme="minorHAnsi" w:hAnsiTheme="minorHAnsi" w:cs="HelveticaNeueLTStd-Bd"/>
          <w:b/>
          <w:i/>
          <w:szCs w:val="24"/>
          <w:lang w:val="en-GB"/>
        </w:rPr>
        <w:t>Braemar SA</w:t>
      </w:r>
    </w:p>
    <w:p w:rsidR="005E7B4F" w:rsidRDefault="005E7B4F"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szCs w:val="24"/>
          <w:lang w:val="en-GB"/>
        </w:rPr>
        <w:t>The principal activities of Braemar SA include the provision</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of hull and machinery damage surveys, loss prevention</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services and expert marine consultancy services on behalf</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of underwriters, owners, P&amp;I Clubs and marine lawyers.</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Braemar SA operates from a network of offices located</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around the world and coordinated through five regional</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hub offices. Revenue in the year was 8% up on the previous</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year reflecting the full year impact of the acquired business in</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May 2011. Instruction levels for Braemar SA’s core service of</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hull and machinery damage surveys were below prior year</w:t>
      </w:r>
      <w:r w:rsidR="00133730">
        <w:rPr>
          <w:rFonts w:asciiTheme="minorHAnsi" w:hAnsiTheme="minorHAnsi" w:cs="HelveticaNeueLTStd-Lt"/>
          <w:szCs w:val="24"/>
          <w:lang w:val="en-GB"/>
        </w:rPr>
        <w:t xml:space="preserve"> </w:t>
      </w:r>
      <w:r w:rsidR="00B96428">
        <w:rPr>
          <w:rFonts w:asciiTheme="minorHAnsi" w:hAnsiTheme="minorHAnsi" w:cs="HelveticaNeueLTStd-Lt"/>
          <w:szCs w:val="24"/>
          <w:lang w:val="en-GB"/>
        </w:rPr>
        <w:t xml:space="preserve">levels </w:t>
      </w:r>
      <w:r w:rsidRPr="005E7B4F">
        <w:rPr>
          <w:rFonts w:asciiTheme="minorHAnsi" w:hAnsiTheme="minorHAnsi" w:cs="HelveticaNeueLTStd-Lt"/>
          <w:szCs w:val="24"/>
          <w:lang w:val="en-GB"/>
        </w:rPr>
        <w:t>reflecting general market trends. However, Braemar SA saw</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an increase in the level of work undertaken for P&amp;I Clubs and</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marine lawyers. In addition to making increased use of the</w:t>
      </w:r>
      <w:r w:rsidR="00F41101">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resources across the wider </w:t>
      </w:r>
      <w:r w:rsidR="007034E8">
        <w:rPr>
          <w:rFonts w:asciiTheme="minorHAnsi" w:hAnsiTheme="minorHAnsi" w:cs="HelveticaNeueLTStd-Lt"/>
          <w:szCs w:val="24"/>
          <w:lang w:val="en-GB"/>
        </w:rPr>
        <w:t>Technical</w:t>
      </w:r>
      <w:r w:rsidRPr="005E7B4F">
        <w:rPr>
          <w:rFonts w:asciiTheme="minorHAnsi" w:hAnsiTheme="minorHAnsi" w:cs="HelveticaNeueLTStd-Lt"/>
          <w:szCs w:val="24"/>
          <w:lang w:val="en-GB"/>
        </w:rPr>
        <w:t xml:space="preserve"> </w:t>
      </w:r>
      <w:r w:rsidR="007034E8">
        <w:rPr>
          <w:rFonts w:asciiTheme="minorHAnsi" w:hAnsiTheme="minorHAnsi" w:cs="HelveticaNeueLTStd-Lt"/>
          <w:szCs w:val="24"/>
          <w:lang w:val="en-GB"/>
        </w:rPr>
        <w:t>d</w:t>
      </w:r>
      <w:r w:rsidRPr="005E7B4F">
        <w:rPr>
          <w:rFonts w:asciiTheme="minorHAnsi" w:hAnsiTheme="minorHAnsi" w:cs="HelveticaNeueLTStd-Lt"/>
          <w:szCs w:val="24"/>
          <w:lang w:val="en-GB"/>
        </w:rPr>
        <w:t>ivision within the year,</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Braemar SA established new bases in Manila and Seattle</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and continued a recruitment programme to deliver further</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growth and succession planning.</w:t>
      </w:r>
    </w:p>
    <w:p w:rsidR="00133730" w:rsidRPr="005E7B4F" w:rsidRDefault="00133730" w:rsidP="00E43AD8">
      <w:pPr>
        <w:autoSpaceDE w:val="0"/>
        <w:autoSpaceDN w:val="0"/>
        <w:adjustRightInd w:val="0"/>
        <w:jc w:val="both"/>
        <w:rPr>
          <w:rFonts w:asciiTheme="minorHAnsi" w:hAnsiTheme="minorHAnsi" w:cs="HelveticaNeueLTStd-Lt"/>
          <w:szCs w:val="24"/>
          <w:lang w:val="en-GB"/>
        </w:rPr>
      </w:pPr>
    </w:p>
    <w:p w:rsidR="005E7B4F" w:rsidRPr="00F41101" w:rsidRDefault="005E7B4F" w:rsidP="00E43AD8">
      <w:pPr>
        <w:autoSpaceDE w:val="0"/>
        <w:autoSpaceDN w:val="0"/>
        <w:adjustRightInd w:val="0"/>
        <w:jc w:val="both"/>
        <w:rPr>
          <w:rFonts w:asciiTheme="minorHAnsi" w:hAnsiTheme="minorHAnsi" w:cs="HelveticaNeueLTStd-Bd"/>
          <w:b/>
          <w:i/>
          <w:szCs w:val="24"/>
          <w:lang w:val="en-GB"/>
        </w:rPr>
      </w:pPr>
      <w:r w:rsidRPr="00F41101">
        <w:rPr>
          <w:rFonts w:asciiTheme="minorHAnsi" w:hAnsiTheme="minorHAnsi" w:cs="HelveticaNeueLTStd-Bd"/>
          <w:b/>
          <w:i/>
          <w:szCs w:val="24"/>
          <w:lang w:val="en-GB"/>
        </w:rPr>
        <w:t>Braemar Engineering</w:t>
      </w:r>
    </w:p>
    <w:p w:rsidR="005E7B4F" w:rsidRDefault="005E7B4F"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szCs w:val="24"/>
          <w:lang w:val="en-GB"/>
        </w:rPr>
        <w:t>The core skills of Braemar Engineering are in the design,</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plan approval and site supervision for ocean going vessels</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carrying liquids in bulk and the review and assessment of</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offshore dynamic positioning systems. These skills have been</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extended to the conceptual design and </w:t>
      </w:r>
      <w:r w:rsidR="004F7288">
        <w:rPr>
          <w:rFonts w:asciiTheme="minorHAnsi" w:hAnsiTheme="minorHAnsi" w:cs="HelveticaNeueLTStd-Lt"/>
          <w:szCs w:val="24"/>
          <w:lang w:val="en-GB"/>
        </w:rPr>
        <w:t xml:space="preserve">obtaining of </w:t>
      </w:r>
      <w:r w:rsidRPr="005E7B4F">
        <w:rPr>
          <w:rFonts w:asciiTheme="minorHAnsi" w:hAnsiTheme="minorHAnsi" w:cs="HelveticaNeueLTStd-Lt"/>
          <w:szCs w:val="24"/>
          <w:lang w:val="en-GB"/>
        </w:rPr>
        <w:t>permit</w:t>
      </w:r>
      <w:r w:rsidR="004F7288">
        <w:rPr>
          <w:rFonts w:asciiTheme="minorHAnsi" w:hAnsiTheme="minorHAnsi" w:cs="HelveticaNeueLTStd-Lt"/>
          <w:szCs w:val="24"/>
          <w:lang w:val="en-GB"/>
        </w:rPr>
        <w:t>s for</w:t>
      </w:r>
      <w:r w:rsidRPr="005E7B4F">
        <w:rPr>
          <w:rFonts w:asciiTheme="minorHAnsi" w:hAnsiTheme="minorHAnsi" w:cs="HelveticaNeueLTStd-Lt"/>
          <w:szCs w:val="24"/>
          <w:lang w:val="en-GB"/>
        </w:rPr>
        <w:t xml:space="preserve"> Liquefied</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Natural Gas (LNG) shore based facilities. In the context of</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LNG carrier design and construction supervision, Braemar</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Engineering </w:t>
      </w:r>
      <w:r w:rsidR="00B96428">
        <w:rPr>
          <w:rFonts w:asciiTheme="minorHAnsi" w:hAnsiTheme="minorHAnsi" w:cs="HelveticaNeueLTStd-Lt"/>
          <w:szCs w:val="24"/>
          <w:lang w:val="en-GB"/>
        </w:rPr>
        <w:t>is a</w:t>
      </w:r>
      <w:r w:rsidRPr="005E7B4F">
        <w:rPr>
          <w:rFonts w:asciiTheme="minorHAnsi" w:hAnsiTheme="minorHAnsi" w:cs="HelveticaNeueLTStd-Lt"/>
          <w:szCs w:val="24"/>
          <w:lang w:val="en-GB"/>
        </w:rPr>
        <w:t xml:space="preserve"> world leader. The LNG and offshore markets</w:t>
      </w:r>
      <w:r w:rsidR="00F41101">
        <w:rPr>
          <w:rFonts w:asciiTheme="minorHAnsi" w:hAnsiTheme="minorHAnsi" w:cs="HelveticaNeueLTStd-Lt"/>
          <w:szCs w:val="24"/>
          <w:lang w:val="en-GB"/>
        </w:rPr>
        <w:t xml:space="preserve"> </w:t>
      </w:r>
      <w:r w:rsidRPr="005E7B4F">
        <w:rPr>
          <w:rFonts w:asciiTheme="minorHAnsi" w:hAnsiTheme="minorHAnsi" w:cs="HelveticaNeueLTStd-Lt"/>
          <w:szCs w:val="24"/>
          <w:lang w:val="en-GB"/>
        </w:rPr>
        <w:t>are growing and this is presenting more opportunities for</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independent consultancies to get involved in the process.</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We have</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recently won a</w:t>
      </w:r>
      <w:r w:rsidR="005A2625">
        <w:rPr>
          <w:rFonts w:asciiTheme="minorHAnsi" w:hAnsiTheme="minorHAnsi" w:cs="HelveticaNeueLTStd-Lt"/>
          <w:szCs w:val="24"/>
          <w:lang w:val="en-GB"/>
        </w:rPr>
        <w:t>n important</w:t>
      </w:r>
      <w:r w:rsidRPr="005E7B4F">
        <w:rPr>
          <w:rFonts w:asciiTheme="minorHAnsi" w:hAnsiTheme="minorHAnsi" w:cs="HelveticaNeueLTStd-Lt"/>
          <w:szCs w:val="24"/>
          <w:lang w:val="en-GB"/>
        </w:rPr>
        <w:t xml:space="preserve"> new contract that will add</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significantly to revenue over three years, starting in the second</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half of 2013/14. The prospects for this business are enhanced</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by the increasing </w:t>
      </w:r>
      <w:r w:rsidR="007D1C01">
        <w:rPr>
          <w:rFonts w:asciiTheme="minorHAnsi" w:hAnsiTheme="minorHAnsi" w:cs="HelveticaNeueLTStd-Lt"/>
          <w:szCs w:val="24"/>
          <w:lang w:val="en-GB"/>
        </w:rPr>
        <w:t xml:space="preserve">demand for </w:t>
      </w:r>
      <w:r w:rsidRPr="005E7B4F">
        <w:rPr>
          <w:rFonts w:asciiTheme="minorHAnsi" w:hAnsiTheme="minorHAnsi" w:cs="HelveticaNeueLTStd-Lt"/>
          <w:szCs w:val="24"/>
          <w:lang w:val="en-GB"/>
        </w:rPr>
        <w:t>LNG as a more environmentally</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friendly and globally recognised energy source.</w:t>
      </w:r>
    </w:p>
    <w:p w:rsidR="00133730" w:rsidRPr="005E7B4F" w:rsidRDefault="00133730" w:rsidP="00E43AD8">
      <w:pPr>
        <w:autoSpaceDE w:val="0"/>
        <w:autoSpaceDN w:val="0"/>
        <w:adjustRightInd w:val="0"/>
        <w:jc w:val="both"/>
        <w:rPr>
          <w:rFonts w:asciiTheme="minorHAnsi" w:hAnsiTheme="minorHAnsi" w:cs="HelveticaNeueLTStd-Lt"/>
          <w:szCs w:val="24"/>
          <w:lang w:val="en-GB"/>
        </w:rPr>
      </w:pPr>
    </w:p>
    <w:p w:rsidR="005E7B4F" w:rsidRPr="00F41101" w:rsidRDefault="005E7B4F" w:rsidP="00E43AD8">
      <w:pPr>
        <w:autoSpaceDE w:val="0"/>
        <w:autoSpaceDN w:val="0"/>
        <w:adjustRightInd w:val="0"/>
        <w:jc w:val="both"/>
        <w:rPr>
          <w:rFonts w:asciiTheme="minorHAnsi" w:hAnsiTheme="minorHAnsi" w:cs="HelveticaNeueLTStd-Bd"/>
          <w:b/>
          <w:i/>
          <w:szCs w:val="24"/>
          <w:lang w:val="en-GB"/>
        </w:rPr>
      </w:pPr>
      <w:r w:rsidRPr="00F41101">
        <w:rPr>
          <w:rFonts w:asciiTheme="minorHAnsi" w:hAnsiTheme="minorHAnsi" w:cs="HelveticaNeueLTStd-Bd"/>
          <w:b/>
          <w:i/>
          <w:szCs w:val="24"/>
          <w:lang w:val="en-GB"/>
        </w:rPr>
        <w:t>Braemar Casbarian</w:t>
      </w:r>
    </w:p>
    <w:p w:rsidR="005E7B4F" w:rsidRPr="005E7B4F" w:rsidRDefault="005E7B4F" w:rsidP="000055FD">
      <w:pPr>
        <w:autoSpaceDE w:val="0"/>
        <w:autoSpaceDN w:val="0"/>
        <w:adjustRightInd w:val="0"/>
        <w:spacing w:after="120"/>
        <w:jc w:val="both"/>
        <w:rPr>
          <w:rFonts w:asciiTheme="minorHAnsi" w:hAnsiTheme="minorHAnsi" w:cs="HelveticaNeueLTStd-Lt"/>
          <w:color w:val="000000"/>
          <w:szCs w:val="24"/>
          <w:lang w:val="en-GB"/>
        </w:rPr>
      </w:pPr>
      <w:r w:rsidRPr="005E7B4F">
        <w:rPr>
          <w:rFonts w:asciiTheme="minorHAnsi" w:hAnsiTheme="minorHAnsi" w:cs="HelveticaNeueLTStd-Lt"/>
          <w:szCs w:val="24"/>
          <w:lang w:val="en-GB"/>
        </w:rPr>
        <w:t>The business, acquired in July 2011, provides skilled</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engineering design, modification and</w:t>
      </w:r>
      <w:r w:rsidR="00133730">
        <w:rPr>
          <w:rFonts w:asciiTheme="minorHAnsi" w:hAnsiTheme="minorHAnsi" w:cs="HelveticaNeueLTStd-Lt"/>
          <w:szCs w:val="24"/>
          <w:lang w:val="en-GB"/>
        </w:rPr>
        <w:t xml:space="preserve"> c</w:t>
      </w:r>
      <w:r w:rsidRPr="005E7B4F">
        <w:rPr>
          <w:rFonts w:asciiTheme="minorHAnsi" w:hAnsiTheme="minorHAnsi" w:cs="HelveticaNeueLTStd-Lt"/>
          <w:szCs w:val="24"/>
          <w:lang w:val="en-GB"/>
        </w:rPr>
        <w:t>ertification services</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to the offshore industry in the Gulf of Mexico from offices in</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Houston and New Orleans. The flow of work in this area has</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been below our expectations, partly as a result of the slow</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pace of recovery after </w:t>
      </w:r>
      <w:r w:rsidR="00B96428">
        <w:rPr>
          <w:rFonts w:asciiTheme="minorHAnsi" w:hAnsiTheme="minorHAnsi" w:cs="HelveticaNeueLTStd-Lt"/>
          <w:szCs w:val="24"/>
          <w:lang w:val="en-GB"/>
        </w:rPr>
        <w:t xml:space="preserve">the </w:t>
      </w:r>
      <w:proofErr w:type="spellStart"/>
      <w:r w:rsidR="00C02146">
        <w:rPr>
          <w:rFonts w:asciiTheme="minorHAnsi" w:hAnsiTheme="minorHAnsi" w:cs="HelveticaNeueLTStd-Lt"/>
          <w:szCs w:val="24"/>
          <w:lang w:val="en-GB"/>
        </w:rPr>
        <w:t>Deepwater</w:t>
      </w:r>
      <w:proofErr w:type="spellEnd"/>
      <w:r w:rsidR="00C02146">
        <w:rPr>
          <w:rFonts w:asciiTheme="minorHAnsi" w:hAnsiTheme="minorHAnsi" w:cs="HelveticaNeueLTStd-Lt"/>
          <w:szCs w:val="24"/>
          <w:lang w:val="en-GB"/>
        </w:rPr>
        <w:t xml:space="preserve"> Horizon</w:t>
      </w:r>
      <w:r w:rsidR="00B96428">
        <w:rPr>
          <w:rFonts w:asciiTheme="minorHAnsi" w:hAnsiTheme="minorHAnsi" w:cs="HelveticaNeueLTStd-Lt"/>
          <w:szCs w:val="24"/>
          <w:lang w:val="en-GB"/>
        </w:rPr>
        <w:t xml:space="preserve"> incident</w:t>
      </w:r>
      <w:r w:rsidRPr="005E7B4F">
        <w:rPr>
          <w:rFonts w:asciiTheme="minorHAnsi" w:hAnsiTheme="minorHAnsi" w:cs="HelveticaNeueLTStd-Lt"/>
          <w:szCs w:val="24"/>
          <w:lang w:val="en-GB"/>
        </w:rPr>
        <w:t>. We are strengthening our</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business development resources and have reduced the cost</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base of the business.</w:t>
      </w:r>
    </w:p>
    <w:p w:rsidR="005E7B4F" w:rsidRDefault="005E7B4F" w:rsidP="00E43AD8">
      <w:pPr>
        <w:autoSpaceDE w:val="0"/>
        <w:autoSpaceDN w:val="0"/>
        <w:adjustRightInd w:val="0"/>
        <w:jc w:val="both"/>
        <w:rPr>
          <w:rFonts w:asciiTheme="minorHAnsi" w:hAnsiTheme="minorHAnsi" w:cs="HelveticaNeueLTStd-Lt"/>
          <w:color w:val="000000"/>
          <w:szCs w:val="24"/>
          <w:lang w:val="en-GB"/>
        </w:rPr>
      </w:pPr>
    </w:p>
    <w:p w:rsidR="00133730" w:rsidRPr="00133730" w:rsidRDefault="00133730" w:rsidP="00E43AD8">
      <w:pPr>
        <w:autoSpaceDE w:val="0"/>
        <w:autoSpaceDN w:val="0"/>
        <w:adjustRightInd w:val="0"/>
        <w:jc w:val="both"/>
        <w:rPr>
          <w:rFonts w:asciiTheme="minorHAnsi" w:hAnsiTheme="minorHAnsi" w:cs="HelveticaNeueLTStd-Lt"/>
          <w:b/>
          <w:color w:val="000000"/>
          <w:szCs w:val="24"/>
          <w:lang w:val="en-GB"/>
        </w:rPr>
      </w:pPr>
      <w:r w:rsidRPr="00133730">
        <w:rPr>
          <w:rFonts w:asciiTheme="minorHAnsi" w:hAnsiTheme="minorHAnsi" w:cs="HelveticaNeueLTStd-Lt"/>
          <w:b/>
          <w:color w:val="000000"/>
          <w:szCs w:val="24"/>
          <w:lang w:val="en-GB"/>
        </w:rPr>
        <w:t>Log</w:t>
      </w:r>
      <w:r w:rsidR="00F41101">
        <w:rPr>
          <w:rFonts w:asciiTheme="minorHAnsi" w:hAnsiTheme="minorHAnsi" w:cs="HelveticaNeueLTStd-Lt"/>
          <w:b/>
          <w:color w:val="000000"/>
          <w:szCs w:val="24"/>
          <w:lang w:val="en-GB"/>
        </w:rPr>
        <w:t>i</w:t>
      </w:r>
      <w:r w:rsidRPr="00133730">
        <w:rPr>
          <w:rFonts w:asciiTheme="minorHAnsi" w:hAnsiTheme="minorHAnsi" w:cs="HelveticaNeueLTStd-Lt"/>
          <w:b/>
          <w:color w:val="000000"/>
          <w:szCs w:val="24"/>
          <w:lang w:val="en-GB"/>
        </w:rPr>
        <w:t>st</w:t>
      </w:r>
      <w:r>
        <w:rPr>
          <w:rFonts w:asciiTheme="minorHAnsi" w:hAnsiTheme="minorHAnsi" w:cs="HelveticaNeueLTStd-Lt"/>
          <w:b/>
          <w:color w:val="000000"/>
          <w:szCs w:val="24"/>
          <w:lang w:val="en-GB"/>
        </w:rPr>
        <w:t>i</w:t>
      </w:r>
      <w:r w:rsidRPr="00133730">
        <w:rPr>
          <w:rFonts w:asciiTheme="minorHAnsi" w:hAnsiTheme="minorHAnsi" w:cs="HelveticaNeueLTStd-Lt"/>
          <w:b/>
          <w:color w:val="000000"/>
          <w:szCs w:val="24"/>
          <w:lang w:val="en-GB"/>
        </w:rPr>
        <w:t>cs</w:t>
      </w:r>
      <w:r w:rsidR="00B96428">
        <w:rPr>
          <w:rFonts w:asciiTheme="minorHAnsi" w:hAnsiTheme="minorHAnsi" w:cs="HelveticaNeueLTStd-Lt"/>
          <w:b/>
          <w:color w:val="000000"/>
          <w:szCs w:val="24"/>
          <w:lang w:val="en-GB"/>
        </w:rPr>
        <w:t xml:space="preserve"> – Cory Brothers</w:t>
      </w:r>
    </w:p>
    <w:p w:rsidR="00133730" w:rsidRDefault="00B96428" w:rsidP="00E43AD8">
      <w:pPr>
        <w:autoSpaceDE w:val="0"/>
        <w:autoSpaceDN w:val="0"/>
        <w:adjustRightInd w:val="0"/>
        <w:jc w:val="both"/>
        <w:rPr>
          <w:rFonts w:asciiTheme="minorHAnsi" w:hAnsiTheme="minorHAnsi" w:cs="HelveticaNeueLTStd-Lt"/>
          <w:color w:val="000000"/>
          <w:szCs w:val="24"/>
          <w:lang w:val="en-GB"/>
        </w:rPr>
      </w:pPr>
      <w:r>
        <w:rPr>
          <w:rFonts w:asciiTheme="minorHAnsi" w:hAnsiTheme="minorHAnsi" w:cs="HelveticaNeueLTStd-Lt"/>
          <w:szCs w:val="24"/>
          <w:lang w:val="en-GB"/>
        </w:rPr>
        <w:t xml:space="preserve">Cory </w:t>
      </w:r>
      <w:proofErr w:type="gramStart"/>
      <w:r>
        <w:rPr>
          <w:rFonts w:asciiTheme="minorHAnsi" w:hAnsiTheme="minorHAnsi" w:cs="HelveticaNeueLTStd-Lt"/>
          <w:szCs w:val="24"/>
          <w:lang w:val="en-GB"/>
        </w:rPr>
        <w:t>Brothers</w:t>
      </w:r>
      <w:proofErr w:type="gramEnd"/>
      <w:r w:rsidR="00133730">
        <w:rPr>
          <w:rFonts w:asciiTheme="minorHAnsi" w:hAnsiTheme="minorHAnsi" w:cs="HelveticaNeueLTStd-Lt"/>
          <w:szCs w:val="24"/>
          <w:lang w:val="en-GB"/>
        </w:rPr>
        <w:t xml:space="preserve"> </w:t>
      </w:r>
      <w:r w:rsidR="005E7B4F" w:rsidRPr="005E7B4F">
        <w:rPr>
          <w:rFonts w:asciiTheme="minorHAnsi" w:hAnsiTheme="minorHAnsi" w:cs="HelveticaNeueLTStd-Lt"/>
          <w:szCs w:val="24"/>
          <w:lang w:val="en-GB"/>
        </w:rPr>
        <w:t>revenue at £37.</w:t>
      </w:r>
      <w:r>
        <w:rPr>
          <w:rFonts w:asciiTheme="minorHAnsi" w:hAnsiTheme="minorHAnsi" w:cs="HelveticaNeueLTStd-Lt"/>
          <w:szCs w:val="24"/>
          <w:lang w:val="en-GB"/>
        </w:rPr>
        <w:t>5</w:t>
      </w:r>
      <w:r w:rsidR="005E7B4F" w:rsidRPr="005E7B4F">
        <w:rPr>
          <w:rFonts w:asciiTheme="minorHAnsi" w:hAnsiTheme="minorHAnsi" w:cs="HelveticaNeueLTStd-Lt"/>
          <w:szCs w:val="24"/>
          <w:lang w:val="en-GB"/>
        </w:rPr>
        <w:t xml:space="preserve"> million was in line</w:t>
      </w:r>
      <w:r w:rsidR="00133730">
        <w:rPr>
          <w:rFonts w:asciiTheme="minorHAnsi" w:hAnsiTheme="minorHAnsi" w:cs="HelveticaNeueLTStd-Lt"/>
          <w:szCs w:val="24"/>
          <w:lang w:val="en-GB"/>
        </w:rPr>
        <w:t xml:space="preserve"> </w:t>
      </w:r>
      <w:r w:rsidR="005E7B4F" w:rsidRPr="005E7B4F">
        <w:rPr>
          <w:rFonts w:asciiTheme="minorHAnsi" w:hAnsiTheme="minorHAnsi" w:cs="HelveticaNeueLTStd-Lt"/>
          <w:color w:val="000000"/>
          <w:szCs w:val="24"/>
          <w:lang w:val="en-GB"/>
        </w:rPr>
        <w:t>with the prior year. The efforts of the management in the</w:t>
      </w:r>
      <w:r w:rsidR="00133730">
        <w:rPr>
          <w:rFonts w:asciiTheme="minorHAnsi" w:hAnsiTheme="minorHAnsi" w:cs="HelveticaNeueLTStd-Lt"/>
          <w:color w:val="000000"/>
          <w:szCs w:val="24"/>
          <w:lang w:val="en-GB"/>
        </w:rPr>
        <w:t xml:space="preserve"> </w:t>
      </w:r>
      <w:r w:rsidR="007034E8">
        <w:rPr>
          <w:rFonts w:asciiTheme="minorHAnsi" w:hAnsiTheme="minorHAnsi" w:cs="HelveticaNeueLTStd-Lt"/>
          <w:color w:val="000000"/>
          <w:szCs w:val="24"/>
          <w:lang w:val="en-GB"/>
        </w:rPr>
        <w:t>Ship</w:t>
      </w:r>
      <w:r w:rsidR="005E7B4F" w:rsidRPr="005E7B4F">
        <w:rPr>
          <w:rFonts w:asciiTheme="minorHAnsi" w:hAnsiTheme="minorHAnsi" w:cs="HelveticaNeueLTStd-Lt"/>
          <w:color w:val="000000"/>
          <w:szCs w:val="24"/>
          <w:lang w:val="en-GB"/>
        </w:rPr>
        <w:t xml:space="preserve"> Agency business have been rewarded with significant</w:t>
      </w:r>
      <w:r w:rsidR="00133730">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growth in revenue but this was offset by the effect of market</w:t>
      </w:r>
      <w:r w:rsidR="00133730">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conditions on Forwarding and Logistics. Operating profit grew</w:t>
      </w:r>
      <w:r w:rsidR="00133730">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by £0.1 million to £2.0 million, thanks to the strong</w:t>
      </w:r>
      <w:r w:rsidR="00133730">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 xml:space="preserve">progress in </w:t>
      </w:r>
      <w:r w:rsidR="007034E8">
        <w:rPr>
          <w:rFonts w:asciiTheme="minorHAnsi" w:hAnsiTheme="minorHAnsi" w:cs="HelveticaNeueLTStd-Lt"/>
          <w:color w:val="000000"/>
          <w:szCs w:val="24"/>
          <w:lang w:val="en-GB"/>
        </w:rPr>
        <w:t>Ship</w:t>
      </w:r>
      <w:r w:rsidR="005E7B4F" w:rsidRPr="005E7B4F">
        <w:rPr>
          <w:rFonts w:asciiTheme="minorHAnsi" w:hAnsiTheme="minorHAnsi" w:cs="HelveticaNeueLTStd-Lt"/>
          <w:color w:val="000000"/>
          <w:szCs w:val="24"/>
          <w:lang w:val="en-GB"/>
        </w:rPr>
        <w:t xml:space="preserve"> Agency. The progress being made in </w:t>
      </w:r>
      <w:r w:rsidR="007034E8">
        <w:rPr>
          <w:rFonts w:asciiTheme="minorHAnsi" w:hAnsiTheme="minorHAnsi" w:cs="HelveticaNeueLTStd-Lt"/>
          <w:color w:val="000000"/>
          <w:szCs w:val="24"/>
          <w:lang w:val="en-GB"/>
        </w:rPr>
        <w:t>Ship</w:t>
      </w:r>
      <w:r w:rsidR="00133730">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Agency should continue and we anticipate some recovery</w:t>
      </w:r>
      <w:r w:rsidR="00133730">
        <w:rPr>
          <w:rFonts w:asciiTheme="minorHAnsi" w:hAnsiTheme="minorHAnsi" w:cs="HelveticaNeueLTStd-Lt"/>
          <w:color w:val="000000"/>
          <w:szCs w:val="24"/>
          <w:lang w:val="en-GB"/>
        </w:rPr>
        <w:t xml:space="preserve"> </w:t>
      </w:r>
      <w:r w:rsidR="005E7B4F" w:rsidRPr="005E7B4F">
        <w:rPr>
          <w:rFonts w:asciiTheme="minorHAnsi" w:hAnsiTheme="minorHAnsi" w:cs="HelveticaNeueLTStd-Lt"/>
          <w:color w:val="000000"/>
          <w:szCs w:val="24"/>
          <w:lang w:val="en-GB"/>
        </w:rPr>
        <w:t>in Forwarding and Logistics.</w:t>
      </w:r>
    </w:p>
    <w:p w:rsidR="00133730" w:rsidRDefault="00133730" w:rsidP="00E43AD8">
      <w:pPr>
        <w:autoSpaceDE w:val="0"/>
        <w:autoSpaceDN w:val="0"/>
        <w:adjustRightInd w:val="0"/>
        <w:jc w:val="both"/>
        <w:rPr>
          <w:rFonts w:asciiTheme="minorHAnsi" w:hAnsiTheme="minorHAnsi" w:cs="HelveticaNeueLTStd-Lt"/>
          <w:color w:val="000000"/>
          <w:szCs w:val="24"/>
          <w:lang w:val="en-GB"/>
        </w:rPr>
      </w:pPr>
    </w:p>
    <w:p w:rsidR="005E7B4F" w:rsidRPr="00F41101" w:rsidRDefault="007034E8" w:rsidP="00E43AD8">
      <w:pPr>
        <w:autoSpaceDE w:val="0"/>
        <w:autoSpaceDN w:val="0"/>
        <w:adjustRightInd w:val="0"/>
        <w:jc w:val="both"/>
        <w:rPr>
          <w:rFonts w:asciiTheme="minorHAnsi" w:hAnsiTheme="minorHAnsi" w:cs="HelveticaNeueLTStd-Bd"/>
          <w:b/>
          <w:i/>
          <w:color w:val="000000"/>
          <w:szCs w:val="24"/>
          <w:lang w:val="en-GB"/>
        </w:rPr>
      </w:pPr>
      <w:r>
        <w:rPr>
          <w:rFonts w:asciiTheme="minorHAnsi" w:hAnsiTheme="minorHAnsi" w:cs="HelveticaNeueLTStd-Bd"/>
          <w:b/>
          <w:i/>
          <w:color w:val="000000"/>
          <w:szCs w:val="24"/>
          <w:lang w:val="en-GB"/>
        </w:rPr>
        <w:t>Ship</w:t>
      </w:r>
      <w:r w:rsidR="005E7B4F" w:rsidRPr="00F41101">
        <w:rPr>
          <w:rFonts w:asciiTheme="minorHAnsi" w:hAnsiTheme="minorHAnsi" w:cs="HelveticaNeueLTStd-Bd"/>
          <w:b/>
          <w:i/>
          <w:color w:val="000000"/>
          <w:szCs w:val="24"/>
          <w:lang w:val="en-GB"/>
        </w:rPr>
        <w:t xml:space="preserve"> Agency</w:t>
      </w:r>
    </w:p>
    <w:p w:rsidR="005E7B4F" w:rsidRPr="005E7B4F" w:rsidRDefault="005E7B4F" w:rsidP="00E43AD8">
      <w:pPr>
        <w:autoSpaceDE w:val="0"/>
        <w:autoSpaceDN w:val="0"/>
        <w:adjustRightInd w:val="0"/>
        <w:jc w:val="both"/>
        <w:rPr>
          <w:rFonts w:asciiTheme="minorHAnsi" w:hAnsiTheme="minorHAnsi" w:cs="HelveticaNeueLTStd-Lt"/>
          <w:color w:val="000000"/>
          <w:szCs w:val="24"/>
          <w:lang w:val="en-GB"/>
        </w:rPr>
      </w:pPr>
      <w:r w:rsidRPr="005E7B4F">
        <w:rPr>
          <w:rFonts w:asciiTheme="minorHAnsi" w:hAnsiTheme="minorHAnsi" w:cs="HelveticaNeueLTStd-Lt"/>
          <w:color w:val="000000"/>
          <w:szCs w:val="24"/>
          <w:lang w:val="en-GB"/>
        </w:rPr>
        <w:t xml:space="preserve">Our </w:t>
      </w:r>
      <w:r w:rsidR="007034E8">
        <w:rPr>
          <w:rFonts w:asciiTheme="minorHAnsi" w:hAnsiTheme="minorHAnsi" w:cs="HelveticaNeueLTStd-Lt"/>
          <w:color w:val="000000"/>
          <w:szCs w:val="24"/>
          <w:lang w:val="en-GB"/>
        </w:rPr>
        <w:t>Ship</w:t>
      </w:r>
      <w:r w:rsidRPr="005E7B4F">
        <w:rPr>
          <w:rFonts w:asciiTheme="minorHAnsi" w:hAnsiTheme="minorHAnsi" w:cs="HelveticaNeueLTStd-Lt"/>
          <w:color w:val="000000"/>
          <w:szCs w:val="24"/>
          <w:lang w:val="en-GB"/>
        </w:rPr>
        <w:t xml:space="preserve"> Agency business services UK ports, the port of</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Singapore (covering the Far East region) and some global</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agency business covering</w:t>
      </w:r>
      <w:r w:rsidR="00B96428">
        <w:rPr>
          <w:rFonts w:asciiTheme="minorHAnsi" w:hAnsiTheme="minorHAnsi" w:cs="HelveticaNeueLTStd-Lt"/>
          <w:color w:val="000000"/>
          <w:szCs w:val="24"/>
          <w:lang w:val="en-GB"/>
        </w:rPr>
        <w:t xml:space="preserve"> Europe,</w:t>
      </w:r>
      <w:r w:rsidRPr="005E7B4F">
        <w:rPr>
          <w:rFonts w:asciiTheme="minorHAnsi" w:hAnsiTheme="minorHAnsi" w:cs="HelveticaNeueLTStd-Lt"/>
          <w:color w:val="000000"/>
          <w:szCs w:val="24"/>
          <w:lang w:val="en-GB"/>
        </w:rPr>
        <w:t xml:space="preserve"> South America and West Africa.</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During 2012/13 the business made some significant steps</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forward; firstly in April 2012, gaining a key contract for</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Agency work at </w:t>
      </w:r>
      <w:proofErr w:type="spellStart"/>
      <w:r w:rsidRPr="005E7B4F">
        <w:rPr>
          <w:rFonts w:asciiTheme="minorHAnsi" w:hAnsiTheme="minorHAnsi" w:cs="HelveticaNeueLTStd-Lt"/>
          <w:color w:val="000000"/>
          <w:szCs w:val="24"/>
          <w:lang w:val="en-GB"/>
        </w:rPr>
        <w:t>Grangemouth</w:t>
      </w:r>
      <w:proofErr w:type="spellEnd"/>
      <w:r w:rsidRPr="005E7B4F">
        <w:rPr>
          <w:rFonts w:asciiTheme="minorHAnsi" w:hAnsiTheme="minorHAnsi" w:cs="HelveticaNeueLTStd-Lt"/>
          <w:color w:val="000000"/>
          <w:szCs w:val="24"/>
          <w:lang w:val="en-GB"/>
        </w:rPr>
        <w:t xml:space="preserve"> and </w:t>
      </w:r>
      <w:proofErr w:type="spellStart"/>
      <w:r w:rsidRPr="005E7B4F">
        <w:rPr>
          <w:rFonts w:asciiTheme="minorHAnsi" w:hAnsiTheme="minorHAnsi" w:cs="HelveticaNeueLTStd-Lt"/>
          <w:color w:val="000000"/>
          <w:szCs w:val="24"/>
          <w:lang w:val="en-GB"/>
        </w:rPr>
        <w:t>Finnart</w:t>
      </w:r>
      <w:proofErr w:type="spellEnd"/>
      <w:r w:rsidRPr="005E7B4F">
        <w:rPr>
          <w:rFonts w:asciiTheme="minorHAnsi" w:hAnsiTheme="minorHAnsi" w:cs="HelveticaNeueLTStd-Lt"/>
          <w:color w:val="000000"/>
          <w:szCs w:val="24"/>
          <w:lang w:val="en-GB"/>
        </w:rPr>
        <w:t>, and secondly</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in October 2012, starting a Hub Agency contract for a new</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client servicing ports across Europe. Under this Hub Agency</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we manage the in-port services and also provide our client with</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key management information and access to cost savings.</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Building on this success we anticipate significant growth</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in ship</w:t>
      </w:r>
      <w:r w:rsidR="00B96428">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 xml:space="preserve">numbers in </w:t>
      </w:r>
      <w:r w:rsidRPr="005E7B4F">
        <w:rPr>
          <w:rFonts w:asciiTheme="minorHAnsi" w:hAnsiTheme="minorHAnsi" w:cs="HelveticaNeueLTStd-Lt"/>
          <w:color w:val="000000"/>
          <w:szCs w:val="24"/>
          <w:lang w:val="en-GB"/>
        </w:rPr>
        <w:lastRenderedPageBreak/>
        <w:t>the year ahead and further expansion</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when appropriate. In order to support this staff numbers</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have grown by 8% to</w:t>
      </w:r>
      <w:r w:rsidR="00F41101">
        <w:rPr>
          <w:rFonts w:asciiTheme="minorHAnsi" w:hAnsiTheme="minorHAnsi" w:cs="HelveticaNeueLTStd-Lt"/>
          <w:color w:val="000000"/>
          <w:szCs w:val="24"/>
          <w:lang w:val="en-GB"/>
        </w:rPr>
        <w:t xml:space="preserve"> 115.</w:t>
      </w:r>
    </w:p>
    <w:p w:rsidR="00FD4870" w:rsidRPr="00FD4870" w:rsidRDefault="00FD4870" w:rsidP="00E43AD8">
      <w:pPr>
        <w:autoSpaceDE w:val="0"/>
        <w:autoSpaceDN w:val="0"/>
        <w:adjustRightInd w:val="0"/>
        <w:jc w:val="both"/>
        <w:rPr>
          <w:rFonts w:asciiTheme="minorHAnsi" w:hAnsiTheme="minorHAnsi" w:cs="HelveticaNeueLTStd-Bd"/>
          <w:color w:val="000000"/>
          <w:szCs w:val="24"/>
          <w:lang w:val="en-GB"/>
        </w:rPr>
      </w:pPr>
    </w:p>
    <w:p w:rsidR="005E7B4F" w:rsidRPr="00F41101" w:rsidRDefault="005E7B4F" w:rsidP="00E43AD8">
      <w:pPr>
        <w:autoSpaceDE w:val="0"/>
        <w:autoSpaceDN w:val="0"/>
        <w:adjustRightInd w:val="0"/>
        <w:jc w:val="both"/>
        <w:rPr>
          <w:rFonts w:asciiTheme="minorHAnsi" w:hAnsiTheme="minorHAnsi" w:cs="HelveticaNeueLTStd-Bd"/>
          <w:b/>
          <w:i/>
          <w:color w:val="000000"/>
          <w:szCs w:val="24"/>
          <w:lang w:val="en-GB"/>
        </w:rPr>
      </w:pPr>
      <w:r w:rsidRPr="00F41101">
        <w:rPr>
          <w:rFonts w:asciiTheme="minorHAnsi" w:hAnsiTheme="minorHAnsi" w:cs="HelveticaNeueLTStd-Bd"/>
          <w:b/>
          <w:i/>
          <w:color w:val="000000"/>
          <w:szCs w:val="24"/>
          <w:lang w:val="en-GB"/>
        </w:rPr>
        <w:t>Forwarding and Logistics</w:t>
      </w:r>
    </w:p>
    <w:p w:rsidR="005E7B4F" w:rsidRPr="005E7B4F" w:rsidRDefault="005E7B4F" w:rsidP="000055FD">
      <w:pPr>
        <w:autoSpaceDE w:val="0"/>
        <w:autoSpaceDN w:val="0"/>
        <w:adjustRightInd w:val="0"/>
        <w:spacing w:after="120"/>
        <w:jc w:val="both"/>
        <w:rPr>
          <w:rFonts w:asciiTheme="minorHAnsi" w:hAnsiTheme="minorHAnsi" w:cs="HelveticaNeueLTStd-Lt"/>
          <w:szCs w:val="24"/>
          <w:lang w:val="en-GB"/>
        </w:rPr>
      </w:pPr>
      <w:r w:rsidRPr="005E7B4F">
        <w:rPr>
          <w:rFonts w:asciiTheme="minorHAnsi" w:hAnsiTheme="minorHAnsi" w:cs="HelveticaNeueLTStd-Lt"/>
          <w:color w:val="000000"/>
          <w:szCs w:val="24"/>
          <w:lang w:val="en-GB"/>
        </w:rPr>
        <w:t>The performance in the year was slightly lower (revenue down</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3%) when compared with a strong 2011/12, which included a</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number of large one-off contracts such as the transhipment</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of a Sheffield steel mill to India. In addition, some of our core</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business was affected negatively by the Olympics as our</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customers focused on service provision to the Olympics as</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opposed to export trade. Aside from these one-off items the</w:t>
      </w:r>
      <w:r w:rsidR="00133730">
        <w:rPr>
          <w:rFonts w:asciiTheme="minorHAnsi" w:hAnsiTheme="minorHAnsi" w:cs="HelveticaNeueLTStd-Lt"/>
          <w:color w:val="000000"/>
          <w:szCs w:val="24"/>
          <w:lang w:val="en-GB"/>
        </w:rPr>
        <w:t xml:space="preserve"> </w:t>
      </w:r>
      <w:r w:rsidRPr="005E7B4F">
        <w:rPr>
          <w:rFonts w:asciiTheme="minorHAnsi" w:hAnsiTheme="minorHAnsi" w:cs="HelveticaNeueLTStd-Lt"/>
          <w:color w:val="000000"/>
          <w:szCs w:val="24"/>
          <w:lang w:val="en-GB"/>
        </w:rPr>
        <w:t>underlying business performed well and</w:t>
      </w:r>
      <w:r w:rsidR="00A77EA8">
        <w:rPr>
          <w:rFonts w:asciiTheme="minorHAnsi" w:hAnsiTheme="minorHAnsi" w:cs="HelveticaNeueLTStd-Lt"/>
          <w:color w:val="000000"/>
          <w:szCs w:val="24"/>
          <w:lang w:val="en-GB"/>
        </w:rPr>
        <w:t xml:space="preserve"> </w:t>
      </w:r>
      <w:r w:rsidR="005A2625">
        <w:rPr>
          <w:rFonts w:asciiTheme="minorHAnsi" w:hAnsiTheme="minorHAnsi" w:cs="HelveticaNeueLTStd-Lt"/>
          <w:color w:val="000000"/>
          <w:szCs w:val="24"/>
          <w:lang w:val="en-GB"/>
        </w:rPr>
        <w:t>has</w:t>
      </w:r>
      <w:r w:rsidR="004F7288">
        <w:rPr>
          <w:rFonts w:asciiTheme="minorHAnsi" w:hAnsiTheme="minorHAnsi" w:cs="HelveticaNeueLTStd-Lt"/>
          <w:color w:val="000000"/>
          <w:szCs w:val="24"/>
          <w:lang w:val="en-GB"/>
        </w:rPr>
        <w:t xml:space="preserve"> started </w:t>
      </w:r>
      <w:r w:rsidR="00A77EA8">
        <w:rPr>
          <w:rFonts w:asciiTheme="minorHAnsi" w:hAnsiTheme="minorHAnsi" w:cs="HelveticaNeueLTStd-Lt"/>
          <w:color w:val="000000"/>
          <w:szCs w:val="24"/>
          <w:lang w:val="en-GB"/>
        </w:rPr>
        <w:t>2013/14</w:t>
      </w:r>
      <w:r w:rsidR="005F78B9">
        <w:rPr>
          <w:rFonts w:asciiTheme="minorHAnsi" w:hAnsiTheme="minorHAnsi" w:cs="HelveticaNeueLTStd-Lt"/>
          <w:color w:val="000000"/>
          <w:szCs w:val="24"/>
          <w:lang w:val="en-GB"/>
        </w:rPr>
        <w:t xml:space="preserve"> </w:t>
      </w:r>
      <w:r w:rsidR="004F7288">
        <w:rPr>
          <w:rFonts w:asciiTheme="minorHAnsi" w:hAnsiTheme="minorHAnsi" w:cs="HelveticaNeueLTStd-Lt"/>
          <w:color w:val="000000"/>
          <w:szCs w:val="24"/>
          <w:lang w:val="en-GB"/>
        </w:rPr>
        <w:t>encouragingly</w:t>
      </w:r>
      <w:r w:rsidR="00133730">
        <w:rPr>
          <w:rFonts w:asciiTheme="minorHAnsi" w:hAnsiTheme="minorHAnsi" w:cs="HelveticaNeueLTStd-Lt"/>
          <w:color w:val="000000"/>
          <w:szCs w:val="24"/>
          <w:lang w:val="en-GB"/>
        </w:rPr>
        <w:t>.</w:t>
      </w:r>
    </w:p>
    <w:p w:rsidR="005E7B4F" w:rsidRDefault="005E7B4F" w:rsidP="00E43AD8">
      <w:pPr>
        <w:autoSpaceDE w:val="0"/>
        <w:autoSpaceDN w:val="0"/>
        <w:adjustRightInd w:val="0"/>
        <w:jc w:val="both"/>
        <w:rPr>
          <w:rFonts w:asciiTheme="minorHAnsi" w:hAnsiTheme="minorHAnsi" w:cs="HelveticaNeueLTStd-Lt"/>
          <w:szCs w:val="24"/>
          <w:lang w:val="en-GB"/>
        </w:rPr>
      </w:pPr>
    </w:p>
    <w:p w:rsidR="00133730" w:rsidRPr="00133730" w:rsidRDefault="00133730" w:rsidP="00E43AD8">
      <w:pPr>
        <w:autoSpaceDE w:val="0"/>
        <w:autoSpaceDN w:val="0"/>
        <w:adjustRightInd w:val="0"/>
        <w:jc w:val="both"/>
        <w:rPr>
          <w:rFonts w:asciiTheme="minorHAnsi" w:hAnsiTheme="minorHAnsi" w:cs="HelveticaNeueLTStd-Lt"/>
          <w:b/>
          <w:szCs w:val="24"/>
          <w:lang w:val="en-GB"/>
        </w:rPr>
      </w:pPr>
      <w:r w:rsidRPr="00133730">
        <w:rPr>
          <w:rFonts w:asciiTheme="minorHAnsi" w:hAnsiTheme="minorHAnsi" w:cs="HelveticaNeueLTStd-Lt"/>
          <w:b/>
          <w:szCs w:val="24"/>
          <w:lang w:val="en-GB"/>
        </w:rPr>
        <w:t>Envir</w:t>
      </w:r>
      <w:r>
        <w:rPr>
          <w:rFonts w:asciiTheme="minorHAnsi" w:hAnsiTheme="minorHAnsi" w:cs="HelveticaNeueLTStd-Lt"/>
          <w:b/>
          <w:szCs w:val="24"/>
          <w:lang w:val="en-GB"/>
        </w:rPr>
        <w:t>o</w:t>
      </w:r>
      <w:r w:rsidRPr="00133730">
        <w:rPr>
          <w:rFonts w:asciiTheme="minorHAnsi" w:hAnsiTheme="minorHAnsi" w:cs="HelveticaNeueLTStd-Lt"/>
          <w:b/>
          <w:szCs w:val="24"/>
          <w:lang w:val="en-GB"/>
        </w:rPr>
        <w:t>nmental</w:t>
      </w:r>
      <w:r w:rsidR="00B96428">
        <w:rPr>
          <w:rFonts w:asciiTheme="minorHAnsi" w:hAnsiTheme="minorHAnsi" w:cs="HelveticaNeueLTStd-Lt"/>
          <w:b/>
          <w:szCs w:val="24"/>
          <w:lang w:val="en-GB"/>
        </w:rPr>
        <w:t xml:space="preserve"> – Braemar Howells</w:t>
      </w:r>
    </w:p>
    <w:p w:rsidR="00133730" w:rsidRDefault="005E7B4F" w:rsidP="000055FD">
      <w:pPr>
        <w:autoSpaceDE w:val="0"/>
        <w:autoSpaceDN w:val="0"/>
        <w:adjustRightInd w:val="0"/>
        <w:spacing w:after="120"/>
        <w:jc w:val="both"/>
        <w:rPr>
          <w:rFonts w:asciiTheme="minorHAnsi" w:hAnsiTheme="minorHAnsi" w:cs="HelveticaNeueLTStd-Lt"/>
          <w:szCs w:val="24"/>
          <w:lang w:val="en-GB"/>
        </w:rPr>
      </w:pPr>
      <w:r w:rsidRPr="005E7B4F">
        <w:rPr>
          <w:rFonts w:asciiTheme="minorHAnsi" w:hAnsiTheme="minorHAnsi" w:cs="HelveticaNeueLTStd-Lt"/>
          <w:szCs w:val="24"/>
          <w:lang w:val="en-GB"/>
        </w:rPr>
        <w:t>This is the second year that Braemar has been extensively</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involved in the location, recovery and safe handling of</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distressed cargo containers from the </w:t>
      </w:r>
      <w:r w:rsidRPr="00FD4870">
        <w:rPr>
          <w:rFonts w:asciiTheme="minorHAnsi" w:hAnsiTheme="minorHAnsi" w:cs="HelveticaNeueLTStd-LtIt"/>
          <w:i/>
          <w:iCs/>
          <w:szCs w:val="24"/>
          <w:lang w:val="en-GB"/>
        </w:rPr>
        <w:t>R</w:t>
      </w:r>
      <w:r w:rsidRPr="005E7B4F">
        <w:rPr>
          <w:rFonts w:asciiTheme="minorHAnsi" w:hAnsiTheme="minorHAnsi" w:cs="HelveticaNeueLTStd-LtIt"/>
          <w:i/>
          <w:iCs/>
          <w:szCs w:val="24"/>
          <w:lang w:val="en-GB"/>
        </w:rPr>
        <w:t>ENA</w:t>
      </w:r>
      <w:r w:rsidRPr="005E7B4F">
        <w:rPr>
          <w:rFonts w:asciiTheme="minorHAnsi" w:hAnsiTheme="minorHAnsi" w:cs="HelveticaNeueLTStd-Lt"/>
          <w:szCs w:val="24"/>
          <w:lang w:val="en-GB"/>
        </w:rPr>
        <w:t>, which</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grounded off the North Island of New Zealand in October</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2011. As a result of this the Division’s revenue increased for</w:t>
      </w:r>
      <w:r w:rsidR="00F41101">
        <w:rPr>
          <w:rFonts w:asciiTheme="minorHAnsi" w:hAnsiTheme="minorHAnsi" w:cs="HelveticaNeueLTStd-Lt"/>
          <w:szCs w:val="24"/>
          <w:lang w:val="en-GB"/>
        </w:rPr>
        <w:t xml:space="preserve"> </w:t>
      </w:r>
      <w:r w:rsidRPr="005E7B4F">
        <w:rPr>
          <w:rFonts w:asciiTheme="minorHAnsi" w:hAnsiTheme="minorHAnsi" w:cs="HelveticaNeueLTStd-Lt"/>
          <w:szCs w:val="24"/>
          <w:lang w:val="en-GB"/>
        </w:rPr>
        <w:t>the third year running to £23.4 million (</w:t>
      </w:r>
      <w:r w:rsidR="0053603B">
        <w:rPr>
          <w:rFonts w:asciiTheme="minorHAnsi" w:hAnsiTheme="minorHAnsi" w:cs="HelveticaNeueLTStd-Lt"/>
          <w:szCs w:val="24"/>
          <w:lang w:val="en-GB"/>
        </w:rPr>
        <w:t xml:space="preserve">2012: </w:t>
      </w:r>
      <w:r w:rsidRPr="005E7B4F">
        <w:rPr>
          <w:rFonts w:asciiTheme="minorHAnsi" w:hAnsiTheme="minorHAnsi" w:cs="HelveticaNeueLTStd-Lt"/>
          <w:szCs w:val="24"/>
          <w:lang w:val="en-GB"/>
        </w:rPr>
        <w:t>£14.5 million)</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and likewise operating profit increased to £2.7 million</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w:t>
      </w:r>
      <w:r w:rsidR="0053603B">
        <w:rPr>
          <w:rFonts w:asciiTheme="minorHAnsi" w:hAnsiTheme="minorHAnsi" w:cs="HelveticaNeueLTStd-Lt"/>
          <w:szCs w:val="24"/>
          <w:lang w:val="en-GB"/>
        </w:rPr>
        <w:t xml:space="preserve">2012: </w:t>
      </w:r>
      <w:r w:rsidRPr="005E7B4F">
        <w:rPr>
          <w:rFonts w:asciiTheme="minorHAnsi" w:hAnsiTheme="minorHAnsi" w:cs="HelveticaNeueLTStd-Lt"/>
          <w:szCs w:val="24"/>
          <w:lang w:val="en-GB"/>
        </w:rPr>
        <w:t>£1.9 million).</w:t>
      </w:r>
    </w:p>
    <w:p w:rsidR="00133730" w:rsidRDefault="005E7B4F" w:rsidP="000055FD">
      <w:pPr>
        <w:autoSpaceDE w:val="0"/>
        <w:autoSpaceDN w:val="0"/>
        <w:adjustRightInd w:val="0"/>
        <w:spacing w:after="120"/>
        <w:jc w:val="both"/>
        <w:rPr>
          <w:rFonts w:asciiTheme="minorHAnsi" w:hAnsiTheme="minorHAnsi" w:cs="HelveticaNeueLTStd-Lt"/>
          <w:szCs w:val="24"/>
          <w:lang w:val="en-GB"/>
        </w:rPr>
      </w:pPr>
      <w:r w:rsidRPr="005E7B4F">
        <w:rPr>
          <w:rFonts w:asciiTheme="minorHAnsi" w:hAnsiTheme="minorHAnsi" w:cs="HelveticaNeueLTStd-Lt"/>
          <w:szCs w:val="24"/>
          <w:lang w:val="en-GB"/>
        </w:rPr>
        <w:t>The Division’s core skill is its 24/7 availability to respond to</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transportation incidents (maritime, aviation, rail and road)</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that require its specialist skills to coordinate and implement</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a structured response, in order to minimise the environmental</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damage in otherwise uncontrolled disaster situations. In the</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UK the industrial services operations provides innovative tank</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cleaning and environmental waste reduction measures,</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alongside its 65 years of incident response provision for</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clients including Government agencies, UK ports and</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Network Rail. The consultancy arm of the Division continues</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to grow overseas, in particular in West and central Africa.</w:t>
      </w:r>
    </w:p>
    <w:p w:rsidR="00133730" w:rsidRPr="005E7B4F" w:rsidRDefault="005E7B4F" w:rsidP="000055FD">
      <w:pPr>
        <w:autoSpaceDE w:val="0"/>
        <w:autoSpaceDN w:val="0"/>
        <w:adjustRightInd w:val="0"/>
        <w:spacing w:after="120"/>
        <w:jc w:val="both"/>
        <w:rPr>
          <w:rFonts w:asciiTheme="minorHAnsi" w:hAnsiTheme="minorHAnsi" w:cs="HelveticaNeueLTStd-Lt"/>
          <w:szCs w:val="24"/>
          <w:lang w:val="en-GB"/>
        </w:rPr>
      </w:pPr>
      <w:r w:rsidRPr="005E7B4F">
        <w:rPr>
          <w:rFonts w:asciiTheme="minorHAnsi" w:hAnsiTheme="minorHAnsi" w:cs="HelveticaNeueLTStd-Lt"/>
          <w:szCs w:val="24"/>
          <w:lang w:val="en-GB"/>
        </w:rPr>
        <w:t xml:space="preserve">Our work on </w:t>
      </w:r>
      <w:r w:rsidRPr="005E7B4F">
        <w:rPr>
          <w:rFonts w:asciiTheme="minorHAnsi" w:hAnsiTheme="minorHAnsi" w:cs="HelveticaNeueLTStd-LtIt"/>
          <w:i/>
          <w:iCs/>
          <w:szCs w:val="24"/>
          <w:lang w:val="en-GB"/>
        </w:rPr>
        <w:t xml:space="preserve">RENA </w:t>
      </w:r>
      <w:r w:rsidRPr="005E7B4F">
        <w:rPr>
          <w:rFonts w:asciiTheme="minorHAnsi" w:hAnsiTheme="minorHAnsi" w:cs="HelveticaNeueLTStd-Lt"/>
          <w:szCs w:val="24"/>
          <w:lang w:val="en-GB"/>
        </w:rPr>
        <w:t>has now been completed</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successfully. Without such major incidents the revenue of</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the division will </w:t>
      </w:r>
      <w:r w:rsidR="00A77EA8">
        <w:rPr>
          <w:rFonts w:asciiTheme="minorHAnsi" w:hAnsiTheme="minorHAnsi" w:cs="HelveticaNeueLTStd-Lt"/>
          <w:szCs w:val="24"/>
          <w:lang w:val="en-GB"/>
        </w:rPr>
        <w:t>revert</w:t>
      </w:r>
      <w:r w:rsidRPr="005E7B4F">
        <w:rPr>
          <w:rFonts w:asciiTheme="minorHAnsi" w:hAnsiTheme="minorHAnsi" w:cs="HelveticaNeueLTStd-Lt"/>
          <w:szCs w:val="24"/>
          <w:lang w:val="en-GB"/>
        </w:rPr>
        <w:t xml:space="preserve"> to an underlying level of revenue of</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circa £5 million.</w:t>
      </w:r>
    </w:p>
    <w:p w:rsidR="005E7B4F" w:rsidRDefault="005E7B4F" w:rsidP="000055FD">
      <w:pPr>
        <w:autoSpaceDE w:val="0"/>
        <w:autoSpaceDN w:val="0"/>
        <w:adjustRightInd w:val="0"/>
        <w:spacing w:after="120"/>
        <w:jc w:val="both"/>
        <w:rPr>
          <w:rFonts w:asciiTheme="minorHAnsi" w:hAnsiTheme="minorHAnsi" w:cs="HelveticaNeueLTStd-LtIt"/>
          <w:iCs/>
          <w:szCs w:val="24"/>
          <w:lang w:val="en-GB"/>
        </w:rPr>
      </w:pPr>
      <w:r w:rsidRPr="005E7B4F">
        <w:rPr>
          <w:rFonts w:asciiTheme="minorHAnsi" w:hAnsiTheme="minorHAnsi" w:cs="HelveticaNeueLTStd-Lt"/>
          <w:szCs w:val="24"/>
          <w:lang w:val="en-GB"/>
        </w:rPr>
        <w:t>Recognised as being an industry leader in hazardous</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working environments, Braemar Howells has gained its 10</w:t>
      </w:r>
      <w:r w:rsidRPr="00133730">
        <w:rPr>
          <w:rFonts w:asciiTheme="minorHAnsi" w:hAnsiTheme="minorHAnsi" w:cs="HelveticaNeueLTStd-Lt"/>
          <w:szCs w:val="24"/>
          <w:vertAlign w:val="superscript"/>
          <w:lang w:val="en-GB"/>
        </w:rPr>
        <w:t>th</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International safety award. This has been demonstrated by</w:t>
      </w:r>
      <w:r w:rsidR="00133730">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working 330,000 man hours accident free on the </w:t>
      </w:r>
      <w:r w:rsidRPr="005E7B4F">
        <w:rPr>
          <w:rFonts w:asciiTheme="minorHAnsi" w:hAnsiTheme="minorHAnsi" w:cs="HelveticaNeueLTStd-LtIt"/>
          <w:i/>
          <w:iCs/>
          <w:szCs w:val="24"/>
          <w:lang w:val="en-GB"/>
        </w:rPr>
        <w:t>RENA</w:t>
      </w:r>
      <w:r w:rsidR="00133730">
        <w:rPr>
          <w:rFonts w:asciiTheme="minorHAnsi" w:hAnsiTheme="minorHAnsi" w:cs="HelveticaNeueLTStd-LtIt"/>
          <w:iCs/>
          <w:szCs w:val="24"/>
          <w:lang w:val="en-GB"/>
        </w:rPr>
        <w:t>.</w:t>
      </w:r>
    </w:p>
    <w:p w:rsidR="003E579D" w:rsidRPr="00133730" w:rsidRDefault="003E579D" w:rsidP="000055FD">
      <w:pPr>
        <w:autoSpaceDE w:val="0"/>
        <w:autoSpaceDN w:val="0"/>
        <w:adjustRightInd w:val="0"/>
        <w:spacing w:after="120"/>
        <w:jc w:val="both"/>
        <w:rPr>
          <w:rFonts w:asciiTheme="minorHAnsi" w:hAnsiTheme="minorHAnsi" w:cs="HelveticaNeueLTStd-Lt"/>
          <w:szCs w:val="24"/>
          <w:lang w:val="en-GB"/>
        </w:rPr>
      </w:pPr>
    </w:p>
    <w:p w:rsidR="008A115D" w:rsidRPr="005E7B4F" w:rsidRDefault="008A115D" w:rsidP="008A115D">
      <w:pPr>
        <w:autoSpaceDE w:val="0"/>
        <w:autoSpaceDN w:val="0"/>
        <w:adjustRightInd w:val="0"/>
        <w:jc w:val="both"/>
        <w:rPr>
          <w:rFonts w:asciiTheme="minorHAnsi" w:hAnsiTheme="minorHAnsi" w:cs="HelveticaNeueLTStd-Bd"/>
          <w:b/>
          <w:szCs w:val="24"/>
          <w:lang w:val="en-GB"/>
        </w:rPr>
      </w:pPr>
      <w:r w:rsidRPr="005E7B4F">
        <w:rPr>
          <w:rFonts w:asciiTheme="minorHAnsi" w:hAnsiTheme="minorHAnsi" w:cs="HelveticaNeueLTStd-Bd"/>
          <w:b/>
          <w:szCs w:val="24"/>
          <w:lang w:val="en-GB"/>
        </w:rPr>
        <w:t>O</w:t>
      </w:r>
      <w:r w:rsidR="005A2625">
        <w:rPr>
          <w:rFonts w:asciiTheme="minorHAnsi" w:hAnsiTheme="minorHAnsi" w:cs="HelveticaNeueLTStd-Bd"/>
          <w:b/>
          <w:szCs w:val="24"/>
          <w:lang w:val="en-GB"/>
        </w:rPr>
        <w:t>UTLOOK</w:t>
      </w:r>
    </w:p>
    <w:p w:rsidR="008A115D" w:rsidRDefault="008A115D" w:rsidP="000055FD">
      <w:pPr>
        <w:autoSpaceDE w:val="0"/>
        <w:autoSpaceDN w:val="0"/>
        <w:adjustRightInd w:val="0"/>
        <w:spacing w:after="120"/>
        <w:jc w:val="both"/>
        <w:rPr>
          <w:rFonts w:asciiTheme="minorHAnsi" w:hAnsiTheme="minorHAnsi" w:cs="HelveticaNeueLTStd-Lt"/>
          <w:szCs w:val="24"/>
          <w:lang w:val="en-GB"/>
        </w:rPr>
      </w:pPr>
      <w:r w:rsidRPr="005E7B4F">
        <w:rPr>
          <w:rFonts w:asciiTheme="minorHAnsi" w:hAnsiTheme="minorHAnsi" w:cs="HelveticaNeueLTStd-Lt"/>
          <w:szCs w:val="24"/>
          <w:lang w:val="en-GB"/>
        </w:rPr>
        <w:t>In the short-term we are unlikely to see a recovery in the</w:t>
      </w:r>
      <w:r>
        <w:rPr>
          <w:rFonts w:asciiTheme="minorHAnsi" w:hAnsiTheme="minorHAnsi" w:cs="HelveticaNeueLTStd-Lt"/>
          <w:szCs w:val="24"/>
          <w:lang w:val="en-GB"/>
        </w:rPr>
        <w:t xml:space="preserve"> </w:t>
      </w:r>
      <w:r w:rsidRPr="005E7B4F">
        <w:rPr>
          <w:rFonts w:asciiTheme="minorHAnsi" w:hAnsiTheme="minorHAnsi" w:cs="HelveticaNeueLTStd-Lt"/>
          <w:szCs w:val="24"/>
          <w:lang w:val="en-GB"/>
        </w:rPr>
        <w:t>shipping markets. As a result the trends established in the last</w:t>
      </w:r>
      <w:r>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couple of years in our </w:t>
      </w:r>
      <w:proofErr w:type="spellStart"/>
      <w:r w:rsidRPr="005E7B4F">
        <w:rPr>
          <w:rFonts w:asciiTheme="minorHAnsi" w:hAnsiTheme="minorHAnsi" w:cs="HelveticaNeueLTStd-Lt"/>
          <w:szCs w:val="24"/>
          <w:lang w:val="en-GB"/>
        </w:rPr>
        <w:t>Shipbroking</w:t>
      </w:r>
      <w:proofErr w:type="spellEnd"/>
      <w:r w:rsidRPr="005E7B4F">
        <w:rPr>
          <w:rFonts w:asciiTheme="minorHAnsi" w:hAnsiTheme="minorHAnsi" w:cs="HelveticaNeueLTStd-Lt"/>
          <w:szCs w:val="24"/>
          <w:lang w:val="en-GB"/>
        </w:rPr>
        <w:t xml:space="preserve"> division are likely to continue.</w:t>
      </w:r>
      <w:r>
        <w:rPr>
          <w:rFonts w:asciiTheme="minorHAnsi" w:hAnsiTheme="minorHAnsi" w:cs="HelveticaNeueLTStd-Lt"/>
          <w:szCs w:val="24"/>
          <w:lang w:val="en-GB"/>
        </w:rPr>
        <w:t xml:space="preserve"> However, we remain confident that the </w:t>
      </w:r>
      <w:proofErr w:type="spellStart"/>
      <w:r>
        <w:rPr>
          <w:rFonts w:asciiTheme="minorHAnsi" w:hAnsiTheme="minorHAnsi" w:cs="HelveticaNeueLTStd-Lt"/>
          <w:szCs w:val="24"/>
          <w:lang w:val="en-GB"/>
        </w:rPr>
        <w:t>Shipbroking</w:t>
      </w:r>
      <w:proofErr w:type="spellEnd"/>
      <w:r>
        <w:rPr>
          <w:rFonts w:asciiTheme="minorHAnsi" w:hAnsiTheme="minorHAnsi" w:cs="HelveticaNeueLTStd-Lt"/>
          <w:szCs w:val="24"/>
          <w:lang w:val="en-GB"/>
        </w:rPr>
        <w:t xml:space="preserve"> division is well positioned to benefit from any recovery in the shipping markets in the medium term. B</w:t>
      </w:r>
      <w:r w:rsidR="007034E8">
        <w:rPr>
          <w:rFonts w:asciiTheme="minorHAnsi" w:hAnsiTheme="minorHAnsi" w:cs="HelveticaNeueLTStd-Lt"/>
          <w:szCs w:val="24"/>
          <w:lang w:val="en-GB"/>
        </w:rPr>
        <w:t xml:space="preserve">raemar Technical </w:t>
      </w:r>
      <w:r>
        <w:rPr>
          <w:rFonts w:asciiTheme="minorHAnsi" w:hAnsiTheme="minorHAnsi" w:cs="HelveticaNeueLTStd-Lt"/>
          <w:szCs w:val="24"/>
          <w:lang w:val="en-GB"/>
        </w:rPr>
        <w:t>S</w:t>
      </w:r>
      <w:r w:rsidR="007034E8">
        <w:rPr>
          <w:rFonts w:asciiTheme="minorHAnsi" w:hAnsiTheme="minorHAnsi" w:cs="HelveticaNeueLTStd-Lt"/>
          <w:szCs w:val="24"/>
          <w:lang w:val="en-GB"/>
        </w:rPr>
        <w:t>ervices</w:t>
      </w:r>
      <w:r w:rsidRPr="005E7B4F">
        <w:rPr>
          <w:rFonts w:asciiTheme="minorHAnsi" w:hAnsiTheme="minorHAnsi" w:cs="HelveticaNeueLTStd-Lt"/>
          <w:szCs w:val="24"/>
          <w:lang w:val="en-GB"/>
        </w:rPr>
        <w:t xml:space="preserve"> is exposed to growing markets and we expect further</w:t>
      </w:r>
      <w:r>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significant growth in the year ahead. </w:t>
      </w:r>
      <w:r>
        <w:rPr>
          <w:rFonts w:asciiTheme="minorHAnsi" w:hAnsiTheme="minorHAnsi" w:cs="HelveticaNeueLTStd-Lt"/>
          <w:szCs w:val="24"/>
          <w:lang w:val="en-GB"/>
        </w:rPr>
        <w:t>C</w:t>
      </w:r>
      <w:r w:rsidRPr="005E7B4F">
        <w:rPr>
          <w:rFonts w:asciiTheme="minorHAnsi" w:hAnsiTheme="minorHAnsi" w:cs="HelveticaNeueLTStd-Lt"/>
          <w:szCs w:val="24"/>
          <w:lang w:val="en-GB"/>
        </w:rPr>
        <w:t>ontinued progress is also</w:t>
      </w:r>
      <w:r>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expected from </w:t>
      </w:r>
      <w:r>
        <w:rPr>
          <w:rFonts w:asciiTheme="minorHAnsi" w:hAnsiTheme="minorHAnsi" w:cs="HelveticaNeueLTStd-Lt"/>
          <w:szCs w:val="24"/>
          <w:lang w:val="en-GB"/>
        </w:rPr>
        <w:t>Cory Brothers</w:t>
      </w:r>
      <w:r w:rsidRPr="005E7B4F">
        <w:rPr>
          <w:rFonts w:asciiTheme="minorHAnsi" w:hAnsiTheme="minorHAnsi" w:cs="HelveticaNeueLTStd-Lt"/>
          <w:szCs w:val="24"/>
          <w:lang w:val="en-GB"/>
        </w:rPr>
        <w:t xml:space="preserve">. The </w:t>
      </w:r>
      <w:r w:rsidRPr="005E7B4F">
        <w:rPr>
          <w:rFonts w:asciiTheme="minorHAnsi" w:hAnsiTheme="minorHAnsi" w:cs="HelveticaNeueLTStd-LtIt"/>
          <w:i/>
          <w:iCs/>
          <w:szCs w:val="24"/>
          <w:lang w:val="en-GB"/>
        </w:rPr>
        <w:t xml:space="preserve">RENA </w:t>
      </w:r>
      <w:r w:rsidRPr="005E7B4F">
        <w:rPr>
          <w:rFonts w:asciiTheme="minorHAnsi" w:hAnsiTheme="minorHAnsi" w:cs="HelveticaNeueLTStd-Lt"/>
          <w:szCs w:val="24"/>
          <w:lang w:val="en-GB"/>
        </w:rPr>
        <w:t>contract</w:t>
      </w:r>
      <w:r>
        <w:rPr>
          <w:rFonts w:asciiTheme="minorHAnsi" w:hAnsiTheme="minorHAnsi" w:cs="HelveticaNeueLTStd-Lt"/>
          <w:szCs w:val="24"/>
          <w:lang w:val="en-GB"/>
        </w:rPr>
        <w:t xml:space="preserve"> </w:t>
      </w:r>
      <w:r w:rsidRPr="005E7B4F">
        <w:rPr>
          <w:rFonts w:asciiTheme="minorHAnsi" w:hAnsiTheme="minorHAnsi" w:cs="HelveticaNeueLTStd-Lt"/>
          <w:szCs w:val="24"/>
          <w:lang w:val="en-GB"/>
        </w:rPr>
        <w:t>finished in February 2013 and, with the reduced activity, the</w:t>
      </w:r>
      <w:r>
        <w:rPr>
          <w:rFonts w:asciiTheme="minorHAnsi" w:hAnsiTheme="minorHAnsi" w:cs="HelveticaNeueLTStd-Lt"/>
          <w:szCs w:val="24"/>
          <w:lang w:val="en-GB"/>
        </w:rPr>
        <w:t xml:space="preserve"> </w:t>
      </w:r>
      <w:r w:rsidRPr="005E7B4F">
        <w:rPr>
          <w:rFonts w:asciiTheme="minorHAnsi" w:hAnsiTheme="minorHAnsi" w:cs="HelveticaNeueLTStd-Lt"/>
          <w:szCs w:val="24"/>
          <w:lang w:val="en-GB"/>
        </w:rPr>
        <w:t>Environmental division is expected to trade at a much reduced</w:t>
      </w:r>
      <w:r>
        <w:rPr>
          <w:rFonts w:asciiTheme="minorHAnsi" w:hAnsiTheme="minorHAnsi" w:cs="HelveticaNeueLTStd-Lt"/>
          <w:szCs w:val="24"/>
          <w:lang w:val="en-GB"/>
        </w:rPr>
        <w:t xml:space="preserve"> </w:t>
      </w:r>
      <w:r w:rsidRPr="005E7B4F">
        <w:rPr>
          <w:rFonts w:asciiTheme="minorHAnsi" w:hAnsiTheme="minorHAnsi" w:cs="HelveticaNeueLTStd-Lt"/>
          <w:szCs w:val="24"/>
          <w:lang w:val="en-GB"/>
        </w:rPr>
        <w:t>level.</w:t>
      </w:r>
    </w:p>
    <w:p w:rsidR="008A115D" w:rsidRPr="005E7B4F" w:rsidRDefault="00A617CC" w:rsidP="008A115D">
      <w:pPr>
        <w:autoSpaceDE w:val="0"/>
        <w:autoSpaceDN w:val="0"/>
        <w:adjustRightInd w:val="0"/>
        <w:jc w:val="both"/>
        <w:rPr>
          <w:rFonts w:asciiTheme="minorHAnsi" w:hAnsiTheme="minorHAnsi" w:cs="HelveticaNeueLTStd-Lt"/>
          <w:szCs w:val="24"/>
          <w:lang w:val="en-GB"/>
        </w:rPr>
      </w:pPr>
      <w:r>
        <w:rPr>
          <w:rFonts w:asciiTheme="minorHAnsi" w:hAnsiTheme="minorHAnsi" w:cs="HelveticaNeueLTStd-Lt"/>
          <w:szCs w:val="24"/>
          <w:lang w:val="en-GB"/>
        </w:rPr>
        <w:t xml:space="preserve">Overall the year has started well. </w:t>
      </w:r>
      <w:r w:rsidR="008A115D" w:rsidRPr="005E7B4F">
        <w:rPr>
          <w:rFonts w:asciiTheme="minorHAnsi" w:hAnsiTheme="minorHAnsi" w:cs="HelveticaNeueLTStd-Lt"/>
          <w:szCs w:val="24"/>
          <w:lang w:val="en-GB"/>
        </w:rPr>
        <w:t>We have developed four complementary divisions</w:t>
      </w:r>
      <w:r w:rsidR="008A115D">
        <w:rPr>
          <w:rFonts w:asciiTheme="minorHAnsi" w:hAnsiTheme="minorHAnsi" w:cs="HelveticaNeueLTStd-Lt"/>
          <w:szCs w:val="24"/>
          <w:lang w:val="en-GB"/>
        </w:rPr>
        <w:t>,</w:t>
      </w:r>
      <w:r w:rsidR="008A115D" w:rsidRPr="005E7B4F">
        <w:rPr>
          <w:rFonts w:asciiTheme="minorHAnsi" w:hAnsiTheme="minorHAnsi" w:cs="HelveticaNeueLTStd-Lt"/>
          <w:szCs w:val="24"/>
          <w:lang w:val="en-GB"/>
        </w:rPr>
        <w:t xml:space="preserve"> the blend</w:t>
      </w:r>
      <w:r w:rsidR="008A115D">
        <w:rPr>
          <w:rFonts w:asciiTheme="minorHAnsi" w:hAnsiTheme="minorHAnsi" w:cs="HelveticaNeueLTStd-Lt"/>
          <w:szCs w:val="24"/>
          <w:lang w:val="en-GB"/>
        </w:rPr>
        <w:t xml:space="preserve"> </w:t>
      </w:r>
      <w:r w:rsidR="008A115D" w:rsidRPr="005E7B4F">
        <w:rPr>
          <w:rFonts w:asciiTheme="minorHAnsi" w:hAnsiTheme="minorHAnsi" w:cs="HelveticaNeueLTStd-Lt"/>
          <w:szCs w:val="24"/>
          <w:lang w:val="en-GB"/>
        </w:rPr>
        <w:t>of which creates stability in turbulent times</w:t>
      </w:r>
      <w:r>
        <w:rPr>
          <w:rFonts w:asciiTheme="minorHAnsi" w:hAnsiTheme="minorHAnsi" w:cs="HelveticaNeueLTStd-Lt"/>
          <w:szCs w:val="24"/>
          <w:lang w:val="en-GB"/>
        </w:rPr>
        <w:t>.</w:t>
      </w:r>
      <w:r w:rsidR="008A115D">
        <w:rPr>
          <w:rFonts w:asciiTheme="minorHAnsi" w:hAnsiTheme="minorHAnsi" w:cs="HelveticaNeueLTStd-Lt"/>
          <w:szCs w:val="24"/>
          <w:lang w:val="en-GB"/>
        </w:rPr>
        <w:t xml:space="preserve"> </w:t>
      </w:r>
      <w:r w:rsidR="008A115D" w:rsidRPr="005E7B4F">
        <w:rPr>
          <w:rFonts w:asciiTheme="minorHAnsi" w:hAnsiTheme="minorHAnsi" w:cs="HelveticaNeueLTStd-Lt"/>
          <w:szCs w:val="24"/>
          <w:lang w:val="en-GB"/>
        </w:rPr>
        <w:t>This, combined</w:t>
      </w:r>
      <w:r w:rsidR="008A115D">
        <w:rPr>
          <w:rFonts w:asciiTheme="minorHAnsi" w:hAnsiTheme="minorHAnsi" w:cs="HelveticaNeueLTStd-Lt"/>
          <w:szCs w:val="24"/>
          <w:lang w:val="en-GB"/>
        </w:rPr>
        <w:t xml:space="preserve"> </w:t>
      </w:r>
      <w:r w:rsidR="008A115D" w:rsidRPr="005E7B4F">
        <w:rPr>
          <w:rFonts w:asciiTheme="minorHAnsi" w:hAnsiTheme="minorHAnsi" w:cs="HelveticaNeueLTStd-Lt"/>
          <w:szCs w:val="24"/>
          <w:lang w:val="en-GB"/>
        </w:rPr>
        <w:t xml:space="preserve">with a </w:t>
      </w:r>
      <w:r>
        <w:rPr>
          <w:rFonts w:asciiTheme="minorHAnsi" w:hAnsiTheme="minorHAnsi" w:cs="HelveticaNeueLTStd-Lt"/>
          <w:szCs w:val="24"/>
          <w:lang w:val="en-GB"/>
        </w:rPr>
        <w:t>robust</w:t>
      </w:r>
      <w:r w:rsidR="008A115D" w:rsidRPr="005E7B4F">
        <w:rPr>
          <w:rFonts w:asciiTheme="minorHAnsi" w:hAnsiTheme="minorHAnsi" w:cs="HelveticaNeueLTStd-Lt"/>
          <w:szCs w:val="24"/>
          <w:lang w:val="en-GB"/>
        </w:rPr>
        <w:t xml:space="preserve"> balance sheet, puts the Group in a strong position</w:t>
      </w:r>
      <w:r w:rsidR="008A115D">
        <w:rPr>
          <w:rFonts w:asciiTheme="minorHAnsi" w:hAnsiTheme="minorHAnsi" w:cs="HelveticaNeueLTStd-Lt"/>
          <w:szCs w:val="24"/>
          <w:lang w:val="en-GB"/>
        </w:rPr>
        <w:t xml:space="preserve"> </w:t>
      </w:r>
      <w:r w:rsidR="008A115D" w:rsidRPr="005E7B4F">
        <w:rPr>
          <w:rFonts w:asciiTheme="minorHAnsi" w:hAnsiTheme="minorHAnsi" w:cs="HelveticaNeueLTStd-Lt"/>
          <w:szCs w:val="24"/>
          <w:lang w:val="en-GB"/>
        </w:rPr>
        <w:t>to deliver on its strategic objectives.</w:t>
      </w:r>
    </w:p>
    <w:p w:rsidR="008A115D" w:rsidRDefault="008A115D" w:rsidP="008A115D">
      <w:pPr>
        <w:autoSpaceDE w:val="0"/>
        <w:autoSpaceDN w:val="0"/>
        <w:adjustRightInd w:val="0"/>
        <w:jc w:val="both"/>
        <w:rPr>
          <w:rFonts w:asciiTheme="minorHAnsi" w:hAnsiTheme="minorHAnsi" w:cs="HelveticaNeueLTStd-Lt"/>
          <w:szCs w:val="24"/>
          <w:lang w:val="en-GB"/>
        </w:rPr>
      </w:pPr>
    </w:p>
    <w:p w:rsidR="005E7B4F" w:rsidRPr="005E7B4F" w:rsidRDefault="005E7B4F" w:rsidP="00E43AD8">
      <w:pPr>
        <w:autoSpaceDE w:val="0"/>
        <w:autoSpaceDN w:val="0"/>
        <w:adjustRightInd w:val="0"/>
        <w:jc w:val="both"/>
        <w:rPr>
          <w:rFonts w:asciiTheme="minorHAnsi" w:hAnsiTheme="minorHAnsi" w:cs="HelveticaNeueLTStd-Lt"/>
          <w:szCs w:val="24"/>
          <w:lang w:val="en-GB"/>
        </w:rPr>
      </w:pPr>
    </w:p>
    <w:p w:rsidR="002B3F24" w:rsidRPr="00133730" w:rsidRDefault="00133730" w:rsidP="00E43AD8">
      <w:pPr>
        <w:autoSpaceDE w:val="0"/>
        <w:autoSpaceDN w:val="0"/>
        <w:adjustRightInd w:val="0"/>
        <w:jc w:val="both"/>
        <w:rPr>
          <w:rFonts w:asciiTheme="minorHAnsi" w:hAnsiTheme="minorHAnsi" w:cs="HelveticaNeueLTStd-Hv"/>
          <w:b/>
          <w:szCs w:val="24"/>
          <w:lang w:val="en-GB"/>
        </w:rPr>
      </w:pPr>
      <w:r w:rsidRPr="00133730">
        <w:rPr>
          <w:rFonts w:asciiTheme="minorHAnsi" w:hAnsiTheme="minorHAnsi" w:cs="HelveticaNeueLTStd-Hv"/>
          <w:b/>
          <w:szCs w:val="24"/>
          <w:lang w:val="en-GB"/>
        </w:rPr>
        <w:t>James Kidwell</w:t>
      </w:r>
    </w:p>
    <w:p w:rsidR="002B3F24" w:rsidRPr="005E7B4F" w:rsidRDefault="002B3F24"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szCs w:val="24"/>
          <w:lang w:val="en-GB"/>
        </w:rPr>
        <w:t>Chief Executive</w:t>
      </w:r>
    </w:p>
    <w:p w:rsidR="002B3F24" w:rsidRPr="005E7B4F" w:rsidRDefault="00FD4870" w:rsidP="00E43AD8">
      <w:pPr>
        <w:pStyle w:val="BodyText"/>
        <w:jc w:val="both"/>
        <w:rPr>
          <w:rFonts w:asciiTheme="minorHAnsi" w:hAnsiTheme="minorHAnsi" w:cs="HelveticaNeueLTStd-Lt"/>
          <w:color w:val="000000"/>
          <w:szCs w:val="24"/>
          <w:lang w:val="en-GB"/>
        </w:rPr>
      </w:pPr>
      <w:r>
        <w:rPr>
          <w:rFonts w:asciiTheme="minorHAnsi" w:hAnsiTheme="minorHAnsi" w:cs="HelveticaNeueLTStd-Lt"/>
          <w:szCs w:val="24"/>
          <w:lang w:val="en-GB"/>
        </w:rPr>
        <w:t>13</w:t>
      </w:r>
      <w:r w:rsidR="002B3F24" w:rsidRPr="005E7B4F">
        <w:rPr>
          <w:rFonts w:asciiTheme="minorHAnsi" w:hAnsiTheme="minorHAnsi" w:cs="HelveticaNeueLTStd-Lt"/>
          <w:szCs w:val="24"/>
          <w:lang w:val="en-GB"/>
        </w:rPr>
        <w:t xml:space="preserve"> May 2013</w:t>
      </w:r>
    </w:p>
    <w:p w:rsidR="000433F6" w:rsidRPr="005E7B4F" w:rsidRDefault="00616D76" w:rsidP="000055FD">
      <w:pPr>
        <w:rPr>
          <w:rFonts w:asciiTheme="minorHAnsi" w:hAnsiTheme="minorHAnsi" w:cs="Arial"/>
          <w:b/>
          <w:bCs/>
          <w:szCs w:val="24"/>
          <w:lang w:val="en-GB"/>
        </w:rPr>
      </w:pPr>
      <w:r>
        <w:rPr>
          <w:rFonts w:asciiTheme="minorHAnsi" w:hAnsiTheme="minorHAnsi" w:cs="Arial"/>
          <w:b/>
          <w:bCs/>
          <w:szCs w:val="24"/>
          <w:lang w:val="en-GB"/>
        </w:rPr>
        <w:lastRenderedPageBreak/>
        <w:t>FINANCIAL REVIEW</w:t>
      </w:r>
    </w:p>
    <w:p w:rsidR="00616D76" w:rsidRDefault="00616D76" w:rsidP="00E43AD8">
      <w:pPr>
        <w:autoSpaceDE w:val="0"/>
        <w:autoSpaceDN w:val="0"/>
        <w:adjustRightInd w:val="0"/>
        <w:jc w:val="both"/>
        <w:rPr>
          <w:rFonts w:asciiTheme="minorHAnsi" w:hAnsiTheme="minorHAnsi" w:cs="HelveticaNeueLTStd-Bd"/>
          <w:szCs w:val="24"/>
          <w:lang w:val="en-GB"/>
        </w:rPr>
      </w:pPr>
    </w:p>
    <w:tbl>
      <w:tblPr>
        <w:tblW w:w="9796" w:type="dxa"/>
        <w:tblInd w:w="93" w:type="dxa"/>
        <w:tblLook w:val="04A0" w:firstRow="1" w:lastRow="0" w:firstColumn="1" w:lastColumn="0" w:noHBand="0" w:noVBand="1"/>
      </w:tblPr>
      <w:tblGrid>
        <w:gridCol w:w="4977"/>
        <w:gridCol w:w="1701"/>
        <w:gridCol w:w="1559"/>
        <w:gridCol w:w="1559"/>
      </w:tblGrid>
      <w:tr w:rsidR="00A77EA8" w:rsidRPr="00370727" w:rsidTr="00A77EA8">
        <w:trPr>
          <w:trHeight w:val="300"/>
        </w:trPr>
        <w:tc>
          <w:tcPr>
            <w:tcW w:w="4977" w:type="dxa"/>
            <w:tcBorders>
              <w:top w:val="nil"/>
              <w:left w:val="nil"/>
              <w:right w:val="nil"/>
            </w:tcBorders>
            <w:shd w:val="clear" w:color="auto" w:fill="auto"/>
            <w:noWrap/>
            <w:vAlign w:val="bottom"/>
            <w:hideMark/>
          </w:tcPr>
          <w:p w:rsidR="00A77EA8" w:rsidRPr="00A77EA8" w:rsidRDefault="00A77EA8" w:rsidP="008E2AD1">
            <w:pPr>
              <w:rPr>
                <w:rFonts w:ascii="Calibri" w:hAnsi="Calibri"/>
                <w:b/>
                <w:color w:val="000000"/>
                <w:sz w:val="21"/>
                <w:szCs w:val="21"/>
              </w:rPr>
            </w:pPr>
            <w:r w:rsidRPr="00A77EA8">
              <w:rPr>
                <w:rFonts w:ascii="Calibri" w:hAnsi="Calibri"/>
                <w:b/>
                <w:color w:val="000000"/>
                <w:sz w:val="21"/>
                <w:szCs w:val="21"/>
              </w:rPr>
              <w:t xml:space="preserve">Summary </w:t>
            </w:r>
            <w:r>
              <w:rPr>
                <w:rFonts w:ascii="Calibri" w:hAnsi="Calibri"/>
                <w:b/>
                <w:color w:val="000000"/>
                <w:sz w:val="21"/>
                <w:szCs w:val="21"/>
              </w:rPr>
              <w:t>Income Statement</w:t>
            </w:r>
          </w:p>
        </w:tc>
        <w:tc>
          <w:tcPr>
            <w:tcW w:w="1701" w:type="dxa"/>
            <w:tcBorders>
              <w:top w:val="nil"/>
              <w:left w:val="nil"/>
              <w:right w:val="nil"/>
            </w:tcBorders>
            <w:shd w:val="clear" w:color="auto" w:fill="auto"/>
            <w:noWrap/>
            <w:vAlign w:val="bottom"/>
            <w:hideMark/>
          </w:tcPr>
          <w:p w:rsidR="00A77EA8" w:rsidRPr="00370727" w:rsidRDefault="00A77EA8" w:rsidP="008E2AD1">
            <w:pPr>
              <w:jc w:val="right"/>
              <w:rPr>
                <w:rFonts w:ascii="Calibri" w:hAnsi="Calibri"/>
                <w:b/>
                <w:bCs/>
                <w:color w:val="000000"/>
                <w:sz w:val="21"/>
                <w:szCs w:val="21"/>
              </w:rPr>
            </w:pPr>
            <w:r w:rsidRPr="00370727">
              <w:rPr>
                <w:rFonts w:ascii="Calibri" w:hAnsi="Calibri"/>
                <w:b/>
                <w:bCs/>
                <w:color w:val="000000"/>
                <w:sz w:val="21"/>
                <w:szCs w:val="21"/>
              </w:rPr>
              <w:t>2013</w:t>
            </w:r>
          </w:p>
        </w:tc>
        <w:tc>
          <w:tcPr>
            <w:tcW w:w="1559" w:type="dxa"/>
            <w:tcBorders>
              <w:top w:val="nil"/>
              <w:left w:val="nil"/>
              <w:right w:val="nil"/>
            </w:tcBorders>
            <w:shd w:val="clear" w:color="auto" w:fill="auto"/>
            <w:noWrap/>
            <w:vAlign w:val="bottom"/>
            <w:hideMark/>
          </w:tcPr>
          <w:p w:rsidR="00A77EA8" w:rsidRPr="00370727" w:rsidRDefault="00A77EA8" w:rsidP="008E2AD1">
            <w:pPr>
              <w:jc w:val="right"/>
              <w:rPr>
                <w:rFonts w:ascii="Calibri" w:hAnsi="Calibri"/>
                <w:bCs/>
                <w:color w:val="000000"/>
                <w:sz w:val="21"/>
                <w:szCs w:val="21"/>
              </w:rPr>
            </w:pPr>
            <w:r w:rsidRPr="00370727">
              <w:rPr>
                <w:rFonts w:ascii="Calibri" w:hAnsi="Calibri"/>
                <w:bCs/>
                <w:color w:val="000000"/>
                <w:sz w:val="21"/>
                <w:szCs w:val="21"/>
              </w:rPr>
              <w:t>2012</w:t>
            </w:r>
          </w:p>
        </w:tc>
        <w:tc>
          <w:tcPr>
            <w:tcW w:w="1559" w:type="dxa"/>
            <w:tcBorders>
              <w:top w:val="nil"/>
              <w:left w:val="nil"/>
              <w:right w:val="nil"/>
            </w:tcBorders>
            <w:shd w:val="clear" w:color="auto" w:fill="auto"/>
            <w:noWrap/>
            <w:vAlign w:val="bottom"/>
            <w:hideMark/>
          </w:tcPr>
          <w:p w:rsidR="00A77EA8" w:rsidRPr="00370727" w:rsidRDefault="00A77EA8" w:rsidP="008E2AD1">
            <w:pPr>
              <w:jc w:val="right"/>
              <w:rPr>
                <w:rFonts w:ascii="Calibri" w:hAnsi="Calibri"/>
                <w:bCs/>
                <w:color w:val="000000"/>
                <w:sz w:val="21"/>
                <w:szCs w:val="21"/>
              </w:rPr>
            </w:pPr>
            <w:r w:rsidRPr="00370727">
              <w:rPr>
                <w:rFonts w:ascii="Calibri" w:hAnsi="Calibri"/>
                <w:bCs/>
                <w:color w:val="000000"/>
                <w:sz w:val="21"/>
                <w:szCs w:val="21"/>
              </w:rPr>
              <w:t>2011</w:t>
            </w:r>
          </w:p>
        </w:tc>
      </w:tr>
      <w:tr w:rsidR="00A77EA8" w:rsidRPr="00370727" w:rsidTr="00A77EA8">
        <w:trPr>
          <w:trHeight w:val="103"/>
        </w:trPr>
        <w:tc>
          <w:tcPr>
            <w:tcW w:w="4977" w:type="dxa"/>
            <w:tcBorders>
              <w:bottom w:val="nil"/>
              <w:right w:val="nil"/>
            </w:tcBorders>
            <w:shd w:val="clear" w:color="auto" w:fill="auto"/>
            <w:noWrap/>
            <w:vAlign w:val="bottom"/>
          </w:tcPr>
          <w:p w:rsidR="00A77EA8" w:rsidRPr="00A77EA8" w:rsidRDefault="00A77EA8" w:rsidP="008E2AD1">
            <w:pPr>
              <w:rPr>
                <w:rFonts w:ascii="Calibri" w:hAnsi="Calibri"/>
                <w:bCs/>
                <w:color w:val="000000"/>
                <w:sz w:val="21"/>
                <w:szCs w:val="21"/>
              </w:rPr>
            </w:pPr>
          </w:p>
        </w:tc>
        <w:tc>
          <w:tcPr>
            <w:tcW w:w="1701" w:type="dxa"/>
            <w:tcBorders>
              <w:left w:val="nil"/>
              <w:bottom w:val="nil"/>
              <w:right w:val="nil"/>
            </w:tcBorders>
            <w:shd w:val="clear" w:color="auto" w:fill="auto"/>
            <w:noWrap/>
            <w:vAlign w:val="bottom"/>
            <w:hideMark/>
          </w:tcPr>
          <w:p w:rsidR="00A77EA8" w:rsidRPr="00370727" w:rsidRDefault="00A77EA8" w:rsidP="008E2AD1">
            <w:pPr>
              <w:jc w:val="right"/>
              <w:rPr>
                <w:rFonts w:ascii="Calibri" w:hAnsi="Calibri"/>
                <w:b/>
                <w:color w:val="000000"/>
                <w:sz w:val="21"/>
                <w:szCs w:val="21"/>
              </w:rPr>
            </w:pPr>
            <w:r w:rsidRPr="00370727">
              <w:rPr>
                <w:rFonts w:ascii="Calibri" w:hAnsi="Calibri"/>
                <w:b/>
                <w:color w:val="000000"/>
                <w:sz w:val="21"/>
                <w:szCs w:val="21"/>
              </w:rPr>
              <w:t>£’000</w:t>
            </w:r>
          </w:p>
        </w:tc>
        <w:tc>
          <w:tcPr>
            <w:tcW w:w="1559" w:type="dxa"/>
            <w:tcBorders>
              <w:left w:val="nil"/>
              <w:bottom w:val="nil"/>
              <w:right w:val="nil"/>
            </w:tcBorders>
            <w:shd w:val="clear" w:color="auto" w:fill="auto"/>
            <w:noWrap/>
            <w:vAlign w:val="bottom"/>
            <w:hideMark/>
          </w:tcPr>
          <w:p w:rsidR="00A77EA8" w:rsidRPr="00370727" w:rsidRDefault="00A77EA8" w:rsidP="008E2AD1">
            <w:pPr>
              <w:jc w:val="right"/>
              <w:rPr>
                <w:rFonts w:ascii="Calibri" w:hAnsi="Calibri"/>
                <w:color w:val="000000"/>
                <w:sz w:val="21"/>
                <w:szCs w:val="21"/>
              </w:rPr>
            </w:pPr>
            <w:r w:rsidRPr="00370727">
              <w:rPr>
                <w:rFonts w:ascii="Calibri" w:hAnsi="Calibri"/>
                <w:color w:val="000000"/>
                <w:sz w:val="21"/>
                <w:szCs w:val="21"/>
              </w:rPr>
              <w:t>£’000</w:t>
            </w:r>
          </w:p>
        </w:tc>
        <w:tc>
          <w:tcPr>
            <w:tcW w:w="1559" w:type="dxa"/>
            <w:tcBorders>
              <w:left w:val="nil"/>
              <w:bottom w:val="nil"/>
            </w:tcBorders>
            <w:shd w:val="clear" w:color="auto" w:fill="auto"/>
            <w:noWrap/>
            <w:vAlign w:val="bottom"/>
            <w:hideMark/>
          </w:tcPr>
          <w:p w:rsidR="00A77EA8" w:rsidRPr="00370727" w:rsidRDefault="00A77EA8" w:rsidP="008E2AD1">
            <w:pPr>
              <w:jc w:val="right"/>
              <w:rPr>
                <w:rFonts w:ascii="Calibri" w:hAnsi="Calibri"/>
                <w:color w:val="000000"/>
                <w:sz w:val="21"/>
                <w:szCs w:val="21"/>
              </w:rPr>
            </w:pPr>
            <w:r w:rsidRPr="00370727">
              <w:rPr>
                <w:rFonts w:ascii="Calibri" w:hAnsi="Calibri"/>
                <w:color w:val="000000"/>
                <w:sz w:val="21"/>
                <w:szCs w:val="21"/>
              </w:rPr>
              <w:t>£’000</w:t>
            </w:r>
          </w:p>
        </w:tc>
      </w:tr>
      <w:tr w:rsidR="00A77EA8" w:rsidRPr="00370727" w:rsidTr="00A77EA8">
        <w:trPr>
          <w:trHeight w:val="85"/>
        </w:trPr>
        <w:tc>
          <w:tcPr>
            <w:tcW w:w="4977" w:type="dxa"/>
            <w:tcBorders>
              <w:top w:val="nil"/>
              <w:right w:val="nil"/>
            </w:tcBorders>
            <w:shd w:val="clear" w:color="auto" w:fill="auto"/>
            <w:noWrap/>
            <w:vAlign w:val="bottom"/>
            <w:hideMark/>
          </w:tcPr>
          <w:p w:rsidR="00A77EA8" w:rsidRPr="00370727" w:rsidRDefault="00A77EA8" w:rsidP="008E2AD1">
            <w:pPr>
              <w:rPr>
                <w:rFonts w:ascii="Calibri" w:hAnsi="Calibri"/>
                <w:color w:val="000000"/>
                <w:sz w:val="21"/>
                <w:szCs w:val="21"/>
              </w:rPr>
            </w:pPr>
            <w:r>
              <w:rPr>
                <w:rFonts w:ascii="Calibri" w:hAnsi="Calibri"/>
                <w:bCs/>
                <w:color w:val="000000"/>
                <w:sz w:val="21"/>
                <w:szCs w:val="21"/>
              </w:rPr>
              <w:t>Revenue</w:t>
            </w:r>
          </w:p>
        </w:tc>
        <w:tc>
          <w:tcPr>
            <w:tcW w:w="1701" w:type="dxa"/>
            <w:tcBorders>
              <w:top w:val="nil"/>
              <w:left w:val="nil"/>
              <w:right w:val="nil"/>
            </w:tcBorders>
            <w:shd w:val="clear" w:color="auto" w:fill="auto"/>
            <w:noWrap/>
            <w:vAlign w:val="bottom"/>
          </w:tcPr>
          <w:p w:rsidR="00A77EA8" w:rsidRPr="00370727" w:rsidRDefault="00A77EA8" w:rsidP="008E2AD1">
            <w:pPr>
              <w:jc w:val="right"/>
              <w:rPr>
                <w:rFonts w:ascii="Calibri" w:hAnsi="Calibri"/>
                <w:b/>
                <w:color w:val="000000"/>
                <w:sz w:val="21"/>
                <w:szCs w:val="21"/>
              </w:rPr>
            </w:pPr>
            <w:r>
              <w:rPr>
                <w:rFonts w:ascii="Calibri" w:hAnsi="Calibri"/>
                <w:b/>
                <w:color w:val="000000"/>
                <w:sz w:val="21"/>
                <w:szCs w:val="21"/>
              </w:rPr>
              <w:t>143,774</w:t>
            </w:r>
          </w:p>
        </w:tc>
        <w:tc>
          <w:tcPr>
            <w:tcW w:w="1559" w:type="dxa"/>
            <w:tcBorders>
              <w:top w:val="nil"/>
              <w:left w:val="nil"/>
              <w:right w:val="nil"/>
            </w:tcBorders>
            <w:shd w:val="clear" w:color="auto" w:fill="auto"/>
            <w:noWrap/>
            <w:vAlign w:val="bottom"/>
          </w:tcPr>
          <w:p w:rsidR="00A77EA8" w:rsidRPr="00370727" w:rsidRDefault="00A77EA8" w:rsidP="008E2AD1">
            <w:pPr>
              <w:jc w:val="right"/>
              <w:rPr>
                <w:rFonts w:ascii="Calibri" w:hAnsi="Calibri"/>
                <w:color w:val="000000"/>
                <w:sz w:val="21"/>
                <w:szCs w:val="21"/>
              </w:rPr>
            </w:pPr>
            <w:r>
              <w:rPr>
                <w:rFonts w:ascii="Calibri" w:hAnsi="Calibri"/>
                <w:color w:val="000000"/>
                <w:sz w:val="21"/>
                <w:szCs w:val="21"/>
              </w:rPr>
              <w:t>133,474</w:t>
            </w:r>
          </w:p>
        </w:tc>
        <w:tc>
          <w:tcPr>
            <w:tcW w:w="1559" w:type="dxa"/>
            <w:tcBorders>
              <w:top w:val="nil"/>
              <w:left w:val="nil"/>
            </w:tcBorders>
            <w:shd w:val="clear" w:color="auto" w:fill="auto"/>
            <w:noWrap/>
            <w:vAlign w:val="bottom"/>
          </w:tcPr>
          <w:p w:rsidR="00A77EA8" w:rsidRPr="00370727" w:rsidRDefault="00A77EA8" w:rsidP="008E2AD1">
            <w:pPr>
              <w:jc w:val="right"/>
              <w:rPr>
                <w:rFonts w:ascii="Calibri" w:hAnsi="Calibri"/>
                <w:color w:val="000000"/>
                <w:sz w:val="21"/>
                <w:szCs w:val="21"/>
              </w:rPr>
            </w:pPr>
            <w:r>
              <w:rPr>
                <w:rFonts w:ascii="Calibri" w:hAnsi="Calibri"/>
                <w:color w:val="000000"/>
                <w:sz w:val="21"/>
                <w:szCs w:val="21"/>
              </w:rPr>
              <w:t>126,135</w:t>
            </w:r>
          </w:p>
        </w:tc>
      </w:tr>
      <w:tr w:rsidR="00A77EA8" w:rsidRPr="00370727" w:rsidTr="00A77EA8">
        <w:trPr>
          <w:trHeight w:val="85"/>
        </w:trPr>
        <w:tc>
          <w:tcPr>
            <w:tcW w:w="4977" w:type="dxa"/>
            <w:tcBorders>
              <w:top w:val="nil"/>
              <w:right w:val="nil"/>
            </w:tcBorders>
            <w:shd w:val="clear" w:color="auto" w:fill="auto"/>
            <w:noWrap/>
            <w:vAlign w:val="bottom"/>
          </w:tcPr>
          <w:p w:rsidR="00A77EA8" w:rsidRDefault="00A77EA8" w:rsidP="008E2AD1">
            <w:pPr>
              <w:rPr>
                <w:rFonts w:ascii="Calibri" w:hAnsi="Calibri"/>
                <w:color w:val="000000"/>
                <w:sz w:val="21"/>
                <w:szCs w:val="21"/>
              </w:rPr>
            </w:pPr>
            <w:r>
              <w:rPr>
                <w:rFonts w:ascii="Calibri" w:hAnsi="Calibri"/>
                <w:color w:val="000000"/>
                <w:sz w:val="21"/>
                <w:szCs w:val="21"/>
              </w:rPr>
              <w:t>Cost of Sales</w:t>
            </w:r>
          </w:p>
        </w:tc>
        <w:tc>
          <w:tcPr>
            <w:tcW w:w="1701" w:type="dxa"/>
            <w:tcBorders>
              <w:top w:val="nil"/>
              <w:left w:val="nil"/>
              <w:right w:val="nil"/>
            </w:tcBorders>
            <w:shd w:val="clear" w:color="auto" w:fill="auto"/>
            <w:noWrap/>
            <w:vAlign w:val="bottom"/>
          </w:tcPr>
          <w:p w:rsidR="00A77EA8" w:rsidRPr="00370727" w:rsidRDefault="00A77EA8" w:rsidP="008E2AD1">
            <w:pPr>
              <w:jc w:val="right"/>
              <w:rPr>
                <w:rFonts w:ascii="Calibri" w:hAnsi="Calibri"/>
                <w:b/>
                <w:color w:val="000000"/>
                <w:sz w:val="21"/>
                <w:szCs w:val="21"/>
              </w:rPr>
            </w:pPr>
            <w:r>
              <w:rPr>
                <w:rFonts w:ascii="Calibri" w:hAnsi="Calibri"/>
                <w:b/>
                <w:color w:val="000000"/>
                <w:sz w:val="21"/>
                <w:szCs w:val="21"/>
              </w:rPr>
              <w:t>(43,867)</w:t>
            </w:r>
          </w:p>
        </w:tc>
        <w:tc>
          <w:tcPr>
            <w:tcW w:w="1559" w:type="dxa"/>
            <w:tcBorders>
              <w:top w:val="nil"/>
              <w:left w:val="nil"/>
              <w:right w:val="nil"/>
            </w:tcBorders>
            <w:shd w:val="clear" w:color="auto" w:fill="auto"/>
            <w:noWrap/>
            <w:vAlign w:val="bottom"/>
          </w:tcPr>
          <w:p w:rsidR="00A77EA8" w:rsidRPr="00370727" w:rsidRDefault="00A77EA8" w:rsidP="008E2AD1">
            <w:pPr>
              <w:jc w:val="right"/>
              <w:rPr>
                <w:rFonts w:ascii="Calibri" w:hAnsi="Calibri"/>
                <w:color w:val="000000"/>
                <w:sz w:val="21"/>
                <w:szCs w:val="21"/>
              </w:rPr>
            </w:pPr>
            <w:r>
              <w:rPr>
                <w:rFonts w:ascii="Calibri" w:hAnsi="Calibri"/>
                <w:color w:val="000000"/>
                <w:sz w:val="21"/>
                <w:szCs w:val="21"/>
              </w:rPr>
              <w:t>(36,922)</w:t>
            </w:r>
          </w:p>
        </w:tc>
        <w:tc>
          <w:tcPr>
            <w:tcW w:w="1559" w:type="dxa"/>
            <w:tcBorders>
              <w:top w:val="nil"/>
              <w:left w:val="nil"/>
            </w:tcBorders>
            <w:shd w:val="clear" w:color="auto" w:fill="auto"/>
            <w:noWrap/>
            <w:vAlign w:val="bottom"/>
          </w:tcPr>
          <w:p w:rsidR="00A77EA8" w:rsidRPr="00370727" w:rsidRDefault="00A77EA8" w:rsidP="008E2AD1">
            <w:pPr>
              <w:jc w:val="right"/>
              <w:rPr>
                <w:rFonts w:ascii="Calibri" w:hAnsi="Calibri"/>
                <w:color w:val="000000"/>
                <w:sz w:val="21"/>
                <w:szCs w:val="21"/>
              </w:rPr>
            </w:pPr>
            <w:r>
              <w:rPr>
                <w:rFonts w:ascii="Calibri" w:hAnsi="Calibri"/>
                <w:color w:val="000000"/>
                <w:sz w:val="21"/>
                <w:szCs w:val="21"/>
              </w:rPr>
              <w:t>(29,897)</w:t>
            </w:r>
          </w:p>
        </w:tc>
      </w:tr>
      <w:tr w:rsidR="00A77EA8" w:rsidRPr="00370727" w:rsidTr="00A77EA8">
        <w:trPr>
          <w:trHeight w:val="85"/>
        </w:trPr>
        <w:tc>
          <w:tcPr>
            <w:tcW w:w="4977" w:type="dxa"/>
            <w:tcBorders>
              <w:top w:val="nil"/>
              <w:bottom w:val="single" w:sz="8" w:space="0" w:color="auto"/>
              <w:right w:val="nil"/>
            </w:tcBorders>
            <w:shd w:val="clear" w:color="auto" w:fill="auto"/>
            <w:noWrap/>
            <w:vAlign w:val="bottom"/>
          </w:tcPr>
          <w:p w:rsidR="00A77EA8" w:rsidRDefault="00A77EA8" w:rsidP="008E2AD1">
            <w:pPr>
              <w:rPr>
                <w:rFonts w:ascii="Calibri" w:hAnsi="Calibri"/>
                <w:color w:val="000000"/>
                <w:sz w:val="21"/>
                <w:szCs w:val="21"/>
              </w:rPr>
            </w:pPr>
            <w:r>
              <w:rPr>
                <w:rFonts w:ascii="Calibri" w:hAnsi="Calibri"/>
                <w:color w:val="000000"/>
                <w:sz w:val="21"/>
                <w:szCs w:val="21"/>
              </w:rPr>
              <w:t>Operating costs</w:t>
            </w:r>
          </w:p>
        </w:tc>
        <w:tc>
          <w:tcPr>
            <w:tcW w:w="1701" w:type="dxa"/>
            <w:tcBorders>
              <w:top w:val="nil"/>
              <w:left w:val="nil"/>
              <w:bottom w:val="single" w:sz="8" w:space="0" w:color="auto"/>
              <w:right w:val="nil"/>
            </w:tcBorders>
            <w:shd w:val="clear" w:color="auto" w:fill="auto"/>
            <w:noWrap/>
            <w:vAlign w:val="bottom"/>
          </w:tcPr>
          <w:p w:rsidR="00A77EA8" w:rsidRPr="00370727" w:rsidRDefault="00A77EA8" w:rsidP="008E2AD1">
            <w:pPr>
              <w:jc w:val="right"/>
              <w:rPr>
                <w:rFonts w:ascii="Calibri" w:hAnsi="Calibri"/>
                <w:b/>
                <w:color w:val="000000"/>
                <w:sz w:val="21"/>
                <w:szCs w:val="21"/>
              </w:rPr>
            </w:pPr>
            <w:r>
              <w:rPr>
                <w:rFonts w:ascii="Calibri" w:hAnsi="Calibri"/>
                <w:b/>
                <w:color w:val="000000"/>
                <w:sz w:val="21"/>
                <w:szCs w:val="21"/>
              </w:rPr>
              <w:t>(86,435)</w:t>
            </w:r>
          </w:p>
        </w:tc>
        <w:tc>
          <w:tcPr>
            <w:tcW w:w="1559" w:type="dxa"/>
            <w:tcBorders>
              <w:top w:val="nil"/>
              <w:left w:val="nil"/>
              <w:bottom w:val="single" w:sz="8" w:space="0" w:color="auto"/>
              <w:right w:val="nil"/>
            </w:tcBorders>
            <w:shd w:val="clear" w:color="auto" w:fill="auto"/>
            <w:noWrap/>
            <w:vAlign w:val="bottom"/>
          </w:tcPr>
          <w:p w:rsidR="00A77EA8" w:rsidRPr="00370727" w:rsidRDefault="00A77EA8" w:rsidP="008E2AD1">
            <w:pPr>
              <w:jc w:val="right"/>
              <w:rPr>
                <w:rFonts w:ascii="Calibri" w:hAnsi="Calibri"/>
                <w:color w:val="000000"/>
                <w:sz w:val="21"/>
                <w:szCs w:val="21"/>
              </w:rPr>
            </w:pPr>
            <w:r>
              <w:rPr>
                <w:rFonts w:ascii="Calibri" w:hAnsi="Calibri"/>
                <w:color w:val="000000"/>
                <w:sz w:val="21"/>
                <w:szCs w:val="21"/>
              </w:rPr>
              <w:t>(83,853)</w:t>
            </w:r>
          </w:p>
        </w:tc>
        <w:tc>
          <w:tcPr>
            <w:tcW w:w="1559" w:type="dxa"/>
            <w:tcBorders>
              <w:top w:val="nil"/>
              <w:left w:val="nil"/>
              <w:bottom w:val="single" w:sz="8" w:space="0" w:color="auto"/>
            </w:tcBorders>
            <w:shd w:val="clear" w:color="auto" w:fill="auto"/>
            <w:noWrap/>
            <w:vAlign w:val="bottom"/>
          </w:tcPr>
          <w:p w:rsidR="00A77EA8" w:rsidRPr="00370727" w:rsidRDefault="00A77EA8" w:rsidP="008E2AD1">
            <w:pPr>
              <w:jc w:val="right"/>
              <w:rPr>
                <w:rFonts w:ascii="Calibri" w:hAnsi="Calibri"/>
                <w:color w:val="000000"/>
                <w:sz w:val="21"/>
                <w:szCs w:val="21"/>
              </w:rPr>
            </w:pPr>
            <w:r>
              <w:rPr>
                <w:rFonts w:ascii="Calibri" w:hAnsi="Calibri"/>
                <w:color w:val="000000"/>
                <w:sz w:val="21"/>
                <w:szCs w:val="21"/>
              </w:rPr>
              <w:t>(79,109)</w:t>
            </w:r>
          </w:p>
        </w:tc>
      </w:tr>
      <w:tr w:rsidR="00A77EA8" w:rsidRPr="00370727" w:rsidTr="00A77EA8">
        <w:trPr>
          <w:trHeight w:val="300"/>
        </w:trPr>
        <w:tc>
          <w:tcPr>
            <w:tcW w:w="4977" w:type="dxa"/>
            <w:tcBorders>
              <w:top w:val="single" w:sz="8" w:space="0" w:color="auto"/>
              <w:bottom w:val="nil"/>
              <w:right w:val="nil"/>
            </w:tcBorders>
            <w:shd w:val="clear" w:color="auto" w:fill="auto"/>
            <w:noWrap/>
            <w:vAlign w:val="bottom"/>
            <w:hideMark/>
          </w:tcPr>
          <w:p w:rsidR="00A77EA8" w:rsidRPr="00370727" w:rsidRDefault="00A77EA8" w:rsidP="008E2AD1">
            <w:pPr>
              <w:rPr>
                <w:rFonts w:ascii="Calibri" w:hAnsi="Calibri"/>
                <w:color w:val="000000"/>
                <w:sz w:val="21"/>
                <w:szCs w:val="21"/>
              </w:rPr>
            </w:pPr>
            <w:r w:rsidRPr="00370727">
              <w:rPr>
                <w:rFonts w:ascii="Calibri" w:hAnsi="Calibri"/>
                <w:color w:val="000000"/>
                <w:sz w:val="21"/>
                <w:szCs w:val="21"/>
              </w:rPr>
              <w:t>Divisional operating profit</w:t>
            </w:r>
          </w:p>
        </w:tc>
        <w:tc>
          <w:tcPr>
            <w:tcW w:w="1701" w:type="dxa"/>
            <w:tcBorders>
              <w:top w:val="single" w:sz="8" w:space="0" w:color="auto"/>
              <w:left w:val="nil"/>
              <w:bottom w:val="nil"/>
              <w:right w:val="nil"/>
            </w:tcBorders>
            <w:shd w:val="clear" w:color="auto" w:fill="auto"/>
            <w:noWrap/>
            <w:vAlign w:val="bottom"/>
          </w:tcPr>
          <w:p w:rsidR="00A77EA8" w:rsidRPr="00370727" w:rsidRDefault="00A77EA8" w:rsidP="008E2AD1">
            <w:pPr>
              <w:jc w:val="right"/>
              <w:rPr>
                <w:rFonts w:ascii="Calibri" w:hAnsi="Calibri"/>
                <w:b/>
                <w:color w:val="000000"/>
                <w:sz w:val="21"/>
                <w:szCs w:val="21"/>
              </w:rPr>
            </w:pPr>
            <w:r>
              <w:rPr>
                <w:rFonts w:ascii="Calibri" w:hAnsi="Calibri"/>
                <w:b/>
                <w:color w:val="000000"/>
                <w:sz w:val="21"/>
                <w:szCs w:val="21"/>
              </w:rPr>
              <w:t>13,472</w:t>
            </w:r>
          </w:p>
        </w:tc>
        <w:tc>
          <w:tcPr>
            <w:tcW w:w="1559" w:type="dxa"/>
            <w:tcBorders>
              <w:top w:val="single" w:sz="8" w:space="0" w:color="auto"/>
              <w:left w:val="nil"/>
              <w:bottom w:val="nil"/>
              <w:right w:val="nil"/>
            </w:tcBorders>
            <w:shd w:val="clear" w:color="auto" w:fill="auto"/>
            <w:noWrap/>
            <w:vAlign w:val="bottom"/>
          </w:tcPr>
          <w:p w:rsidR="00A77EA8" w:rsidRPr="00370727" w:rsidRDefault="00A77EA8" w:rsidP="008E2AD1">
            <w:pPr>
              <w:jc w:val="right"/>
              <w:rPr>
                <w:rFonts w:ascii="Calibri" w:hAnsi="Calibri"/>
                <w:color w:val="000000"/>
                <w:sz w:val="21"/>
                <w:szCs w:val="21"/>
              </w:rPr>
            </w:pPr>
            <w:r>
              <w:rPr>
                <w:rFonts w:ascii="Calibri" w:hAnsi="Calibri"/>
                <w:color w:val="000000"/>
                <w:sz w:val="21"/>
                <w:szCs w:val="21"/>
              </w:rPr>
              <w:t>12,699</w:t>
            </w:r>
          </w:p>
        </w:tc>
        <w:tc>
          <w:tcPr>
            <w:tcW w:w="1559" w:type="dxa"/>
            <w:tcBorders>
              <w:top w:val="single" w:sz="8" w:space="0" w:color="auto"/>
              <w:left w:val="nil"/>
              <w:bottom w:val="nil"/>
            </w:tcBorders>
            <w:shd w:val="clear" w:color="auto" w:fill="auto"/>
            <w:noWrap/>
            <w:vAlign w:val="bottom"/>
          </w:tcPr>
          <w:p w:rsidR="00A77EA8" w:rsidRPr="00370727" w:rsidRDefault="00A77EA8" w:rsidP="008E2AD1">
            <w:pPr>
              <w:jc w:val="right"/>
              <w:rPr>
                <w:rFonts w:ascii="Calibri" w:hAnsi="Calibri"/>
                <w:color w:val="000000"/>
                <w:sz w:val="21"/>
                <w:szCs w:val="21"/>
              </w:rPr>
            </w:pPr>
            <w:r>
              <w:rPr>
                <w:rFonts w:ascii="Calibri" w:hAnsi="Calibri"/>
                <w:color w:val="000000"/>
                <w:sz w:val="21"/>
                <w:szCs w:val="21"/>
              </w:rPr>
              <w:t>17,129</w:t>
            </w:r>
          </w:p>
        </w:tc>
      </w:tr>
      <w:tr w:rsidR="00A77EA8" w:rsidRPr="00370727" w:rsidTr="00A77EA8">
        <w:trPr>
          <w:trHeight w:val="166"/>
        </w:trPr>
        <w:tc>
          <w:tcPr>
            <w:tcW w:w="4977" w:type="dxa"/>
            <w:tcBorders>
              <w:top w:val="nil"/>
              <w:bottom w:val="nil"/>
              <w:right w:val="nil"/>
            </w:tcBorders>
            <w:shd w:val="clear" w:color="auto" w:fill="auto"/>
            <w:noWrap/>
            <w:vAlign w:val="bottom"/>
            <w:hideMark/>
          </w:tcPr>
          <w:p w:rsidR="00A77EA8" w:rsidRPr="00370727" w:rsidRDefault="00A77EA8" w:rsidP="00A77EA8">
            <w:pPr>
              <w:rPr>
                <w:rFonts w:ascii="Calibri" w:hAnsi="Calibri"/>
                <w:color w:val="000000"/>
                <w:sz w:val="21"/>
                <w:szCs w:val="21"/>
              </w:rPr>
            </w:pPr>
            <w:r>
              <w:rPr>
                <w:rFonts w:ascii="Calibri" w:hAnsi="Calibri"/>
                <w:color w:val="000000"/>
                <w:sz w:val="21"/>
                <w:szCs w:val="21"/>
              </w:rPr>
              <w:t>Unallocated costs</w:t>
            </w:r>
          </w:p>
        </w:tc>
        <w:tc>
          <w:tcPr>
            <w:tcW w:w="1701" w:type="dxa"/>
            <w:tcBorders>
              <w:top w:val="nil"/>
              <w:left w:val="nil"/>
              <w:bottom w:val="nil"/>
              <w:right w:val="nil"/>
            </w:tcBorders>
            <w:shd w:val="clear" w:color="auto" w:fill="auto"/>
            <w:noWrap/>
            <w:vAlign w:val="bottom"/>
          </w:tcPr>
          <w:p w:rsidR="00A77EA8" w:rsidRPr="00370727" w:rsidRDefault="00A77EA8" w:rsidP="008E2AD1">
            <w:pPr>
              <w:jc w:val="right"/>
              <w:rPr>
                <w:rFonts w:ascii="Calibri" w:hAnsi="Calibri"/>
                <w:b/>
                <w:color w:val="000000"/>
                <w:sz w:val="21"/>
                <w:szCs w:val="21"/>
              </w:rPr>
            </w:pPr>
            <w:r>
              <w:rPr>
                <w:rFonts w:ascii="Calibri" w:hAnsi="Calibri"/>
                <w:b/>
                <w:color w:val="000000"/>
                <w:sz w:val="21"/>
                <w:szCs w:val="21"/>
              </w:rPr>
              <w:t>(2,951)</w:t>
            </w:r>
          </w:p>
        </w:tc>
        <w:tc>
          <w:tcPr>
            <w:tcW w:w="1559" w:type="dxa"/>
            <w:tcBorders>
              <w:top w:val="nil"/>
              <w:left w:val="nil"/>
              <w:bottom w:val="nil"/>
              <w:right w:val="nil"/>
            </w:tcBorders>
            <w:shd w:val="clear" w:color="auto" w:fill="auto"/>
            <w:noWrap/>
            <w:vAlign w:val="bottom"/>
          </w:tcPr>
          <w:p w:rsidR="00A77EA8" w:rsidRPr="00370727" w:rsidRDefault="00A77EA8" w:rsidP="008E2AD1">
            <w:pPr>
              <w:jc w:val="right"/>
              <w:rPr>
                <w:rFonts w:ascii="Calibri" w:hAnsi="Calibri"/>
                <w:color w:val="000000"/>
                <w:sz w:val="21"/>
                <w:szCs w:val="21"/>
              </w:rPr>
            </w:pPr>
            <w:r>
              <w:rPr>
                <w:rFonts w:ascii="Calibri" w:hAnsi="Calibri"/>
                <w:color w:val="000000"/>
                <w:sz w:val="21"/>
                <w:szCs w:val="21"/>
              </w:rPr>
              <w:t>(1,953)</w:t>
            </w:r>
          </w:p>
        </w:tc>
        <w:tc>
          <w:tcPr>
            <w:tcW w:w="1559" w:type="dxa"/>
            <w:tcBorders>
              <w:top w:val="nil"/>
              <w:left w:val="nil"/>
              <w:bottom w:val="nil"/>
            </w:tcBorders>
            <w:shd w:val="clear" w:color="auto" w:fill="auto"/>
            <w:noWrap/>
            <w:vAlign w:val="bottom"/>
          </w:tcPr>
          <w:p w:rsidR="00A77EA8" w:rsidRPr="00370727" w:rsidRDefault="00643CDC" w:rsidP="008E2AD1">
            <w:pPr>
              <w:jc w:val="right"/>
              <w:rPr>
                <w:rFonts w:ascii="Calibri" w:hAnsi="Calibri"/>
                <w:color w:val="000000"/>
                <w:sz w:val="21"/>
                <w:szCs w:val="21"/>
              </w:rPr>
            </w:pPr>
            <w:r>
              <w:rPr>
                <w:rFonts w:ascii="Calibri" w:hAnsi="Calibri"/>
                <w:color w:val="000000"/>
                <w:sz w:val="21"/>
                <w:szCs w:val="21"/>
              </w:rPr>
              <w:t>(2,635)</w:t>
            </w:r>
          </w:p>
        </w:tc>
      </w:tr>
      <w:tr w:rsidR="00A77EA8" w:rsidRPr="00370727" w:rsidTr="00A77EA8">
        <w:trPr>
          <w:trHeight w:val="166"/>
        </w:trPr>
        <w:tc>
          <w:tcPr>
            <w:tcW w:w="4977" w:type="dxa"/>
            <w:tcBorders>
              <w:top w:val="nil"/>
              <w:bottom w:val="nil"/>
              <w:right w:val="nil"/>
            </w:tcBorders>
            <w:shd w:val="clear" w:color="auto" w:fill="auto"/>
            <w:noWrap/>
            <w:vAlign w:val="bottom"/>
          </w:tcPr>
          <w:p w:rsidR="00A77EA8" w:rsidRPr="00370727" w:rsidRDefault="00A77EA8" w:rsidP="00A77EA8">
            <w:pPr>
              <w:rPr>
                <w:rFonts w:ascii="Calibri" w:hAnsi="Calibri"/>
                <w:color w:val="000000"/>
                <w:sz w:val="21"/>
                <w:szCs w:val="21"/>
              </w:rPr>
            </w:pPr>
            <w:r>
              <w:rPr>
                <w:rFonts w:ascii="Calibri" w:hAnsi="Calibri"/>
                <w:color w:val="000000"/>
                <w:sz w:val="21"/>
                <w:szCs w:val="21"/>
              </w:rPr>
              <w:t>Non-recurring items</w:t>
            </w:r>
          </w:p>
        </w:tc>
        <w:tc>
          <w:tcPr>
            <w:tcW w:w="1701" w:type="dxa"/>
            <w:tcBorders>
              <w:top w:val="nil"/>
              <w:left w:val="nil"/>
              <w:bottom w:val="nil"/>
              <w:right w:val="nil"/>
            </w:tcBorders>
            <w:shd w:val="clear" w:color="auto" w:fill="auto"/>
            <w:noWrap/>
            <w:vAlign w:val="bottom"/>
          </w:tcPr>
          <w:p w:rsidR="00A77EA8" w:rsidRPr="00370727" w:rsidRDefault="00A77EA8" w:rsidP="008E2AD1">
            <w:pPr>
              <w:jc w:val="right"/>
              <w:rPr>
                <w:rFonts w:ascii="Calibri" w:hAnsi="Calibri"/>
                <w:b/>
                <w:color w:val="000000"/>
                <w:sz w:val="21"/>
                <w:szCs w:val="21"/>
              </w:rPr>
            </w:pPr>
            <w:r>
              <w:rPr>
                <w:rFonts w:ascii="Calibri" w:hAnsi="Calibri"/>
                <w:b/>
                <w:color w:val="000000"/>
                <w:sz w:val="21"/>
                <w:szCs w:val="21"/>
              </w:rPr>
              <w:t>-</w:t>
            </w:r>
          </w:p>
        </w:tc>
        <w:tc>
          <w:tcPr>
            <w:tcW w:w="1559" w:type="dxa"/>
            <w:tcBorders>
              <w:top w:val="nil"/>
              <w:left w:val="nil"/>
              <w:bottom w:val="nil"/>
              <w:right w:val="nil"/>
            </w:tcBorders>
            <w:shd w:val="clear" w:color="auto" w:fill="auto"/>
            <w:noWrap/>
            <w:vAlign w:val="bottom"/>
          </w:tcPr>
          <w:p w:rsidR="00A77EA8" w:rsidRPr="00370727" w:rsidRDefault="00A77EA8" w:rsidP="008E2AD1">
            <w:pPr>
              <w:jc w:val="right"/>
              <w:rPr>
                <w:rFonts w:ascii="Calibri" w:hAnsi="Calibri"/>
                <w:color w:val="000000"/>
                <w:sz w:val="21"/>
                <w:szCs w:val="21"/>
              </w:rPr>
            </w:pPr>
            <w:r>
              <w:rPr>
                <w:rFonts w:ascii="Calibri" w:hAnsi="Calibri"/>
                <w:color w:val="000000"/>
                <w:sz w:val="21"/>
                <w:szCs w:val="21"/>
              </w:rPr>
              <w:t>69</w:t>
            </w:r>
          </w:p>
        </w:tc>
        <w:tc>
          <w:tcPr>
            <w:tcW w:w="1559" w:type="dxa"/>
            <w:tcBorders>
              <w:top w:val="nil"/>
              <w:left w:val="nil"/>
              <w:bottom w:val="nil"/>
            </w:tcBorders>
            <w:shd w:val="clear" w:color="auto" w:fill="auto"/>
            <w:noWrap/>
            <w:vAlign w:val="bottom"/>
          </w:tcPr>
          <w:p w:rsidR="00A77EA8" w:rsidRPr="00370727" w:rsidRDefault="00643CDC" w:rsidP="008E2AD1">
            <w:pPr>
              <w:jc w:val="right"/>
              <w:rPr>
                <w:rFonts w:ascii="Calibri" w:hAnsi="Calibri"/>
                <w:color w:val="000000"/>
                <w:sz w:val="21"/>
                <w:szCs w:val="21"/>
              </w:rPr>
            </w:pPr>
            <w:r>
              <w:rPr>
                <w:rFonts w:ascii="Calibri" w:hAnsi="Calibri"/>
                <w:color w:val="000000"/>
                <w:sz w:val="21"/>
                <w:szCs w:val="21"/>
              </w:rPr>
              <w:t>-</w:t>
            </w:r>
          </w:p>
        </w:tc>
      </w:tr>
      <w:tr w:rsidR="00A77EA8" w:rsidRPr="00370727" w:rsidTr="00A77EA8">
        <w:trPr>
          <w:trHeight w:val="166"/>
        </w:trPr>
        <w:tc>
          <w:tcPr>
            <w:tcW w:w="4977" w:type="dxa"/>
            <w:tcBorders>
              <w:top w:val="nil"/>
              <w:bottom w:val="single" w:sz="8" w:space="0" w:color="auto"/>
              <w:right w:val="nil"/>
            </w:tcBorders>
            <w:shd w:val="clear" w:color="auto" w:fill="auto"/>
            <w:noWrap/>
            <w:vAlign w:val="bottom"/>
          </w:tcPr>
          <w:p w:rsidR="00A77EA8" w:rsidRPr="00370727" w:rsidRDefault="00A77EA8" w:rsidP="00A77EA8">
            <w:pPr>
              <w:rPr>
                <w:rFonts w:ascii="Calibri" w:hAnsi="Calibri"/>
                <w:color w:val="000000"/>
                <w:sz w:val="21"/>
                <w:szCs w:val="21"/>
              </w:rPr>
            </w:pPr>
            <w:proofErr w:type="spellStart"/>
            <w:r>
              <w:rPr>
                <w:rFonts w:ascii="Calibri" w:hAnsi="Calibri"/>
                <w:color w:val="000000"/>
                <w:sz w:val="21"/>
                <w:szCs w:val="21"/>
              </w:rPr>
              <w:t>Amortisation</w:t>
            </w:r>
            <w:proofErr w:type="spellEnd"/>
            <w:r>
              <w:rPr>
                <w:rFonts w:ascii="Calibri" w:hAnsi="Calibri"/>
                <w:color w:val="000000"/>
                <w:sz w:val="21"/>
                <w:szCs w:val="21"/>
              </w:rPr>
              <w:t xml:space="preserve"> of other intangible assets</w:t>
            </w:r>
          </w:p>
        </w:tc>
        <w:tc>
          <w:tcPr>
            <w:tcW w:w="1701" w:type="dxa"/>
            <w:tcBorders>
              <w:top w:val="nil"/>
              <w:left w:val="nil"/>
              <w:bottom w:val="single" w:sz="8" w:space="0" w:color="auto"/>
              <w:right w:val="nil"/>
            </w:tcBorders>
            <w:shd w:val="clear" w:color="auto" w:fill="auto"/>
            <w:noWrap/>
            <w:vAlign w:val="bottom"/>
          </w:tcPr>
          <w:p w:rsidR="00A77EA8" w:rsidRPr="00370727" w:rsidRDefault="00A77EA8" w:rsidP="008E2AD1">
            <w:pPr>
              <w:jc w:val="right"/>
              <w:rPr>
                <w:rFonts w:ascii="Calibri" w:hAnsi="Calibri"/>
                <w:b/>
                <w:color w:val="000000"/>
                <w:sz w:val="21"/>
                <w:szCs w:val="21"/>
              </w:rPr>
            </w:pPr>
            <w:r>
              <w:rPr>
                <w:rFonts w:ascii="Calibri" w:hAnsi="Calibri"/>
                <w:b/>
                <w:color w:val="000000"/>
                <w:sz w:val="21"/>
                <w:szCs w:val="21"/>
              </w:rPr>
              <w:t>(1,538)</w:t>
            </w:r>
          </w:p>
        </w:tc>
        <w:tc>
          <w:tcPr>
            <w:tcW w:w="1559" w:type="dxa"/>
            <w:tcBorders>
              <w:top w:val="nil"/>
              <w:left w:val="nil"/>
              <w:bottom w:val="single" w:sz="8" w:space="0" w:color="auto"/>
              <w:right w:val="nil"/>
            </w:tcBorders>
            <w:shd w:val="clear" w:color="auto" w:fill="auto"/>
            <w:noWrap/>
            <w:vAlign w:val="bottom"/>
          </w:tcPr>
          <w:p w:rsidR="00A77EA8" w:rsidRPr="00370727" w:rsidRDefault="00A77EA8" w:rsidP="008E2AD1">
            <w:pPr>
              <w:jc w:val="right"/>
              <w:rPr>
                <w:rFonts w:ascii="Calibri" w:hAnsi="Calibri"/>
                <w:color w:val="000000"/>
                <w:sz w:val="21"/>
                <w:szCs w:val="21"/>
              </w:rPr>
            </w:pPr>
            <w:r>
              <w:rPr>
                <w:rFonts w:ascii="Calibri" w:hAnsi="Calibri"/>
                <w:color w:val="000000"/>
                <w:sz w:val="21"/>
                <w:szCs w:val="21"/>
              </w:rPr>
              <w:t>(1,458)</w:t>
            </w:r>
          </w:p>
        </w:tc>
        <w:tc>
          <w:tcPr>
            <w:tcW w:w="1559" w:type="dxa"/>
            <w:tcBorders>
              <w:top w:val="nil"/>
              <w:left w:val="nil"/>
              <w:bottom w:val="single" w:sz="8" w:space="0" w:color="auto"/>
            </w:tcBorders>
            <w:shd w:val="clear" w:color="auto" w:fill="auto"/>
            <w:noWrap/>
            <w:vAlign w:val="bottom"/>
          </w:tcPr>
          <w:p w:rsidR="00A77EA8" w:rsidRPr="00370727" w:rsidRDefault="00643CDC" w:rsidP="008E2AD1">
            <w:pPr>
              <w:jc w:val="right"/>
              <w:rPr>
                <w:rFonts w:ascii="Calibri" w:hAnsi="Calibri"/>
                <w:color w:val="000000"/>
                <w:sz w:val="21"/>
                <w:szCs w:val="21"/>
              </w:rPr>
            </w:pPr>
            <w:r>
              <w:rPr>
                <w:rFonts w:ascii="Calibri" w:hAnsi="Calibri"/>
                <w:color w:val="000000"/>
                <w:sz w:val="21"/>
                <w:szCs w:val="21"/>
              </w:rPr>
              <w:t>(1,565</w:t>
            </w:r>
          </w:p>
        </w:tc>
      </w:tr>
      <w:tr w:rsidR="00A77EA8" w:rsidRPr="00370727" w:rsidTr="00A77EA8">
        <w:trPr>
          <w:trHeight w:val="240"/>
        </w:trPr>
        <w:tc>
          <w:tcPr>
            <w:tcW w:w="4977" w:type="dxa"/>
            <w:tcBorders>
              <w:top w:val="single" w:sz="8" w:space="0" w:color="auto"/>
              <w:bottom w:val="single" w:sz="12" w:space="0" w:color="auto"/>
              <w:right w:val="nil"/>
            </w:tcBorders>
            <w:shd w:val="clear" w:color="auto" w:fill="auto"/>
            <w:noWrap/>
            <w:vAlign w:val="bottom"/>
            <w:hideMark/>
          </w:tcPr>
          <w:p w:rsidR="00A77EA8" w:rsidRPr="00370727" w:rsidRDefault="00A77EA8" w:rsidP="008E2AD1">
            <w:pPr>
              <w:rPr>
                <w:rFonts w:ascii="Calibri" w:hAnsi="Calibri"/>
                <w:color w:val="000000"/>
                <w:sz w:val="21"/>
                <w:szCs w:val="21"/>
              </w:rPr>
            </w:pPr>
            <w:r>
              <w:rPr>
                <w:rFonts w:ascii="Calibri" w:hAnsi="Calibri"/>
                <w:color w:val="000000"/>
                <w:sz w:val="21"/>
                <w:szCs w:val="21"/>
              </w:rPr>
              <w:t>Operating profit</w:t>
            </w:r>
          </w:p>
        </w:tc>
        <w:tc>
          <w:tcPr>
            <w:tcW w:w="1701" w:type="dxa"/>
            <w:tcBorders>
              <w:top w:val="single" w:sz="8" w:space="0" w:color="auto"/>
              <w:left w:val="nil"/>
              <w:bottom w:val="single" w:sz="12" w:space="0" w:color="auto"/>
              <w:right w:val="nil"/>
            </w:tcBorders>
            <w:shd w:val="clear" w:color="auto" w:fill="auto"/>
            <w:noWrap/>
            <w:vAlign w:val="bottom"/>
          </w:tcPr>
          <w:p w:rsidR="00A77EA8" w:rsidRPr="00370727" w:rsidRDefault="00A77EA8" w:rsidP="008E2AD1">
            <w:pPr>
              <w:jc w:val="right"/>
              <w:rPr>
                <w:rFonts w:ascii="Calibri" w:hAnsi="Calibri"/>
                <w:b/>
                <w:color w:val="000000"/>
                <w:sz w:val="21"/>
                <w:szCs w:val="21"/>
              </w:rPr>
            </w:pPr>
            <w:r>
              <w:rPr>
                <w:rFonts w:ascii="Calibri" w:hAnsi="Calibri"/>
                <w:b/>
                <w:color w:val="000000"/>
                <w:sz w:val="21"/>
                <w:szCs w:val="21"/>
              </w:rPr>
              <w:t>8,983</w:t>
            </w:r>
          </w:p>
        </w:tc>
        <w:tc>
          <w:tcPr>
            <w:tcW w:w="1559" w:type="dxa"/>
            <w:tcBorders>
              <w:top w:val="single" w:sz="8" w:space="0" w:color="auto"/>
              <w:left w:val="nil"/>
              <w:bottom w:val="single" w:sz="12" w:space="0" w:color="auto"/>
              <w:right w:val="nil"/>
            </w:tcBorders>
            <w:shd w:val="clear" w:color="auto" w:fill="auto"/>
            <w:noWrap/>
            <w:vAlign w:val="bottom"/>
          </w:tcPr>
          <w:p w:rsidR="00A77EA8" w:rsidRPr="00370727" w:rsidRDefault="00A77EA8" w:rsidP="008E2AD1">
            <w:pPr>
              <w:jc w:val="right"/>
              <w:rPr>
                <w:rFonts w:ascii="Calibri" w:hAnsi="Calibri"/>
                <w:color w:val="000000"/>
                <w:sz w:val="21"/>
                <w:szCs w:val="21"/>
              </w:rPr>
            </w:pPr>
            <w:r>
              <w:rPr>
                <w:rFonts w:ascii="Calibri" w:hAnsi="Calibri"/>
                <w:color w:val="000000"/>
                <w:sz w:val="21"/>
                <w:szCs w:val="21"/>
              </w:rPr>
              <w:t>9,357</w:t>
            </w:r>
          </w:p>
        </w:tc>
        <w:tc>
          <w:tcPr>
            <w:tcW w:w="1559" w:type="dxa"/>
            <w:tcBorders>
              <w:top w:val="single" w:sz="8" w:space="0" w:color="auto"/>
              <w:left w:val="nil"/>
              <w:bottom w:val="single" w:sz="12" w:space="0" w:color="auto"/>
            </w:tcBorders>
            <w:shd w:val="clear" w:color="auto" w:fill="auto"/>
            <w:noWrap/>
            <w:vAlign w:val="bottom"/>
          </w:tcPr>
          <w:p w:rsidR="00A77EA8" w:rsidRPr="00370727" w:rsidRDefault="00643CDC" w:rsidP="008E2AD1">
            <w:pPr>
              <w:jc w:val="right"/>
              <w:rPr>
                <w:rFonts w:ascii="Calibri" w:hAnsi="Calibri"/>
                <w:color w:val="000000"/>
                <w:sz w:val="21"/>
                <w:szCs w:val="21"/>
              </w:rPr>
            </w:pPr>
            <w:r>
              <w:rPr>
                <w:rFonts w:ascii="Calibri" w:hAnsi="Calibri"/>
                <w:color w:val="000000"/>
                <w:sz w:val="21"/>
                <w:szCs w:val="21"/>
              </w:rPr>
              <w:t>12,929</w:t>
            </w:r>
          </w:p>
        </w:tc>
      </w:tr>
    </w:tbl>
    <w:p w:rsidR="00A77EA8" w:rsidRDefault="00A77EA8" w:rsidP="00E43AD8">
      <w:pPr>
        <w:autoSpaceDE w:val="0"/>
        <w:autoSpaceDN w:val="0"/>
        <w:adjustRightInd w:val="0"/>
        <w:jc w:val="both"/>
        <w:rPr>
          <w:rFonts w:asciiTheme="minorHAnsi" w:hAnsiTheme="minorHAnsi" w:cs="HelveticaNeueLTStd-Bd"/>
          <w:szCs w:val="24"/>
          <w:lang w:val="en-GB"/>
        </w:rPr>
      </w:pPr>
    </w:p>
    <w:p w:rsidR="00FD4870" w:rsidRPr="00370727" w:rsidRDefault="00FD4870" w:rsidP="00FD4870">
      <w:pPr>
        <w:autoSpaceDE w:val="0"/>
        <w:autoSpaceDN w:val="0"/>
        <w:adjustRightInd w:val="0"/>
        <w:jc w:val="both"/>
        <w:rPr>
          <w:rFonts w:ascii="Calibri" w:hAnsi="Calibri" w:cs="Arial"/>
          <w:b/>
          <w:bCs/>
          <w:i/>
          <w:sz w:val="22"/>
          <w:szCs w:val="22"/>
        </w:rPr>
      </w:pPr>
      <w:r w:rsidRPr="00370727">
        <w:rPr>
          <w:rFonts w:ascii="Calibri" w:hAnsi="Calibri" w:cs="Arial"/>
          <w:b/>
          <w:bCs/>
          <w:i/>
          <w:sz w:val="22"/>
          <w:szCs w:val="22"/>
        </w:rPr>
        <w:t>Financial highlights</w:t>
      </w:r>
    </w:p>
    <w:tbl>
      <w:tblPr>
        <w:tblW w:w="9654" w:type="dxa"/>
        <w:tblInd w:w="93" w:type="dxa"/>
        <w:tblLook w:val="04A0" w:firstRow="1" w:lastRow="0" w:firstColumn="1" w:lastColumn="0" w:noHBand="0" w:noVBand="1"/>
      </w:tblPr>
      <w:tblGrid>
        <w:gridCol w:w="2283"/>
        <w:gridCol w:w="851"/>
        <w:gridCol w:w="801"/>
        <w:gridCol w:w="801"/>
        <w:gridCol w:w="241"/>
        <w:gridCol w:w="2268"/>
        <w:gridCol w:w="850"/>
        <w:gridCol w:w="851"/>
        <w:gridCol w:w="801"/>
      </w:tblGrid>
      <w:tr w:rsidR="00FD4870" w:rsidRPr="00370727" w:rsidTr="00FD4870">
        <w:trPr>
          <w:trHeight w:val="300"/>
        </w:trPr>
        <w:tc>
          <w:tcPr>
            <w:tcW w:w="2283" w:type="dxa"/>
            <w:tcBorders>
              <w:top w:val="nil"/>
              <w:left w:val="nil"/>
              <w:bottom w:val="single" w:sz="8" w:space="0" w:color="auto"/>
              <w:right w:val="nil"/>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851" w:type="dxa"/>
            <w:tcBorders>
              <w:top w:val="nil"/>
              <w:left w:val="nil"/>
              <w:bottom w:val="single" w:sz="8" w:space="0" w:color="auto"/>
              <w:right w:val="nil"/>
            </w:tcBorders>
            <w:shd w:val="clear" w:color="auto" w:fill="auto"/>
            <w:noWrap/>
            <w:vAlign w:val="bottom"/>
            <w:hideMark/>
          </w:tcPr>
          <w:p w:rsidR="00FD4870" w:rsidRPr="00370727" w:rsidRDefault="00FD4870" w:rsidP="002B0CA2">
            <w:pPr>
              <w:jc w:val="right"/>
              <w:rPr>
                <w:rFonts w:ascii="Calibri" w:hAnsi="Calibri"/>
                <w:b/>
                <w:bCs/>
                <w:color w:val="000000"/>
                <w:sz w:val="21"/>
                <w:szCs w:val="21"/>
              </w:rPr>
            </w:pPr>
            <w:r w:rsidRPr="00370727">
              <w:rPr>
                <w:rFonts w:ascii="Calibri" w:hAnsi="Calibri"/>
                <w:b/>
                <w:bCs/>
                <w:color w:val="000000"/>
                <w:sz w:val="21"/>
                <w:szCs w:val="21"/>
              </w:rPr>
              <w:t>2013</w:t>
            </w:r>
          </w:p>
        </w:tc>
        <w:tc>
          <w:tcPr>
            <w:tcW w:w="801" w:type="dxa"/>
            <w:tcBorders>
              <w:top w:val="nil"/>
              <w:left w:val="nil"/>
              <w:bottom w:val="single" w:sz="8" w:space="0" w:color="auto"/>
              <w:right w:val="nil"/>
            </w:tcBorders>
            <w:shd w:val="clear" w:color="auto" w:fill="auto"/>
            <w:noWrap/>
            <w:vAlign w:val="bottom"/>
            <w:hideMark/>
          </w:tcPr>
          <w:p w:rsidR="00FD4870" w:rsidRPr="00370727" w:rsidRDefault="00FD4870" w:rsidP="002B0CA2">
            <w:pPr>
              <w:jc w:val="right"/>
              <w:rPr>
                <w:rFonts w:ascii="Calibri" w:hAnsi="Calibri"/>
                <w:bCs/>
                <w:color w:val="000000"/>
                <w:sz w:val="21"/>
                <w:szCs w:val="21"/>
              </w:rPr>
            </w:pPr>
            <w:r w:rsidRPr="00370727">
              <w:rPr>
                <w:rFonts w:ascii="Calibri" w:hAnsi="Calibri"/>
                <w:bCs/>
                <w:color w:val="000000"/>
                <w:sz w:val="21"/>
                <w:szCs w:val="21"/>
              </w:rPr>
              <w:t>2012</w:t>
            </w:r>
          </w:p>
        </w:tc>
        <w:tc>
          <w:tcPr>
            <w:tcW w:w="801" w:type="dxa"/>
            <w:tcBorders>
              <w:top w:val="nil"/>
              <w:left w:val="nil"/>
              <w:bottom w:val="single" w:sz="8" w:space="0" w:color="auto"/>
              <w:right w:val="nil"/>
            </w:tcBorders>
            <w:shd w:val="clear" w:color="auto" w:fill="auto"/>
            <w:noWrap/>
            <w:vAlign w:val="bottom"/>
            <w:hideMark/>
          </w:tcPr>
          <w:p w:rsidR="00FD4870" w:rsidRPr="00370727" w:rsidRDefault="00FD4870" w:rsidP="002B0CA2">
            <w:pPr>
              <w:jc w:val="right"/>
              <w:rPr>
                <w:rFonts w:ascii="Calibri" w:hAnsi="Calibri"/>
                <w:bCs/>
                <w:color w:val="000000"/>
                <w:sz w:val="21"/>
                <w:szCs w:val="21"/>
              </w:rPr>
            </w:pPr>
            <w:r w:rsidRPr="00370727">
              <w:rPr>
                <w:rFonts w:ascii="Calibri" w:hAnsi="Calibri"/>
                <w:bCs/>
                <w:color w:val="000000"/>
                <w:sz w:val="21"/>
                <w:szCs w:val="21"/>
              </w:rPr>
              <w:t>2011</w:t>
            </w:r>
          </w:p>
        </w:tc>
        <w:tc>
          <w:tcPr>
            <w:tcW w:w="241" w:type="dxa"/>
            <w:tcBorders>
              <w:top w:val="nil"/>
              <w:left w:val="nil"/>
              <w:bottom w:val="nil"/>
              <w:right w:val="nil"/>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2268" w:type="dxa"/>
            <w:tcBorders>
              <w:top w:val="nil"/>
              <w:left w:val="nil"/>
              <w:bottom w:val="single" w:sz="8" w:space="0" w:color="auto"/>
              <w:right w:val="nil"/>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850" w:type="dxa"/>
            <w:tcBorders>
              <w:top w:val="nil"/>
              <w:left w:val="nil"/>
              <w:bottom w:val="single" w:sz="8" w:space="0" w:color="auto"/>
              <w:right w:val="nil"/>
            </w:tcBorders>
            <w:shd w:val="clear" w:color="auto" w:fill="auto"/>
            <w:noWrap/>
            <w:vAlign w:val="bottom"/>
            <w:hideMark/>
          </w:tcPr>
          <w:p w:rsidR="00FD4870" w:rsidRPr="00370727" w:rsidRDefault="00FD4870" w:rsidP="002B0CA2">
            <w:pPr>
              <w:jc w:val="right"/>
              <w:rPr>
                <w:rFonts w:ascii="Calibri" w:hAnsi="Calibri"/>
                <w:b/>
                <w:bCs/>
                <w:color w:val="000000"/>
                <w:sz w:val="21"/>
                <w:szCs w:val="21"/>
              </w:rPr>
            </w:pPr>
            <w:r w:rsidRPr="00370727">
              <w:rPr>
                <w:rFonts w:ascii="Calibri" w:hAnsi="Calibri"/>
                <w:b/>
                <w:bCs/>
                <w:color w:val="000000"/>
                <w:sz w:val="21"/>
                <w:szCs w:val="21"/>
              </w:rPr>
              <w:t>2013</w:t>
            </w:r>
          </w:p>
        </w:tc>
        <w:tc>
          <w:tcPr>
            <w:tcW w:w="851" w:type="dxa"/>
            <w:tcBorders>
              <w:top w:val="nil"/>
              <w:left w:val="nil"/>
              <w:bottom w:val="single" w:sz="8" w:space="0" w:color="auto"/>
              <w:right w:val="nil"/>
            </w:tcBorders>
            <w:shd w:val="clear" w:color="auto" w:fill="auto"/>
            <w:noWrap/>
            <w:vAlign w:val="bottom"/>
            <w:hideMark/>
          </w:tcPr>
          <w:p w:rsidR="00FD4870" w:rsidRPr="00370727" w:rsidRDefault="00FD4870" w:rsidP="002B0CA2">
            <w:pPr>
              <w:jc w:val="right"/>
              <w:rPr>
                <w:rFonts w:ascii="Calibri" w:hAnsi="Calibri"/>
                <w:bCs/>
                <w:color w:val="000000"/>
                <w:sz w:val="21"/>
                <w:szCs w:val="21"/>
              </w:rPr>
            </w:pPr>
            <w:r w:rsidRPr="00370727">
              <w:rPr>
                <w:rFonts w:ascii="Calibri" w:hAnsi="Calibri"/>
                <w:bCs/>
                <w:color w:val="000000"/>
                <w:sz w:val="21"/>
                <w:szCs w:val="21"/>
              </w:rPr>
              <w:t>2012</w:t>
            </w:r>
          </w:p>
        </w:tc>
        <w:tc>
          <w:tcPr>
            <w:tcW w:w="708" w:type="dxa"/>
            <w:tcBorders>
              <w:top w:val="nil"/>
              <w:left w:val="nil"/>
              <w:bottom w:val="single" w:sz="8" w:space="0" w:color="auto"/>
              <w:right w:val="nil"/>
            </w:tcBorders>
            <w:shd w:val="clear" w:color="auto" w:fill="auto"/>
            <w:noWrap/>
            <w:vAlign w:val="bottom"/>
            <w:hideMark/>
          </w:tcPr>
          <w:p w:rsidR="00FD4870" w:rsidRPr="00370727" w:rsidRDefault="00FD4870" w:rsidP="002B0CA2">
            <w:pPr>
              <w:jc w:val="right"/>
              <w:rPr>
                <w:rFonts w:ascii="Calibri" w:hAnsi="Calibri"/>
                <w:bCs/>
                <w:color w:val="000000"/>
                <w:sz w:val="21"/>
                <w:szCs w:val="21"/>
              </w:rPr>
            </w:pPr>
            <w:r w:rsidRPr="00370727">
              <w:rPr>
                <w:rFonts w:ascii="Calibri" w:hAnsi="Calibri"/>
                <w:bCs/>
                <w:color w:val="000000"/>
                <w:sz w:val="21"/>
                <w:szCs w:val="21"/>
              </w:rPr>
              <w:t>2011</w:t>
            </w:r>
          </w:p>
        </w:tc>
      </w:tr>
      <w:tr w:rsidR="00FD4870" w:rsidRPr="00370727" w:rsidTr="007F03AD">
        <w:trPr>
          <w:trHeight w:val="103"/>
        </w:trPr>
        <w:tc>
          <w:tcPr>
            <w:tcW w:w="2283" w:type="dxa"/>
            <w:tcBorders>
              <w:top w:val="single" w:sz="8" w:space="0" w:color="auto"/>
              <w:left w:val="single" w:sz="8" w:space="0" w:color="auto"/>
              <w:bottom w:val="nil"/>
              <w:right w:val="nil"/>
            </w:tcBorders>
            <w:shd w:val="clear" w:color="auto" w:fill="auto"/>
            <w:noWrap/>
            <w:vAlign w:val="bottom"/>
            <w:hideMark/>
          </w:tcPr>
          <w:p w:rsidR="00FD4870" w:rsidRPr="00370727" w:rsidRDefault="00FD4870" w:rsidP="002B0CA2">
            <w:pPr>
              <w:rPr>
                <w:rFonts w:ascii="Calibri" w:hAnsi="Calibri"/>
                <w:b/>
                <w:bCs/>
                <w:color w:val="000000"/>
                <w:sz w:val="21"/>
                <w:szCs w:val="21"/>
              </w:rPr>
            </w:pPr>
            <w:proofErr w:type="spellStart"/>
            <w:r w:rsidRPr="00370727">
              <w:rPr>
                <w:rFonts w:ascii="Calibri" w:hAnsi="Calibri"/>
                <w:b/>
                <w:bCs/>
                <w:color w:val="000000"/>
                <w:sz w:val="21"/>
                <w:szCs w:val="21"/>
              </w:rPr>
              <w:t>Shipbroking</w:t>
            </w:r>
            <w:proofErr w:type="spellEnd"/>
          </w:p>
        </w:tc>
        <w:tc>
          <w:tcPr>
            <w:tcW w:w="851" w:type="dxa"/>
            <w:tcBorders>
              <w:top w:val="single" w:sz="8" w:space="0" w:color="auto"/>
              <w:left w:val="nil"/>
              <w:bottom w:val="nil"/>
              <w:right w:val="nil"/>
            </w:tcBorders>
            <w:shd w:val="clear" w:color="auto" w:fill="auto"/>
            <w:noWrap/>
            <w:vAlign w:val="bottom"/>
            <w:hideMark/>
          </w:tcPr>
          <w:p w:rsidR="00FD4870" w:rsidRPr="00370727" w:rsidRDefault="00FD4870" w:rsidP="002B0CA2">
            <w:pPr>
              <w:jc w:val="right"/>
              <w:rPr>
                <w:rFonts w:ascii="Calibri" w:hAnsi="Calibri"/>
                <w:b/>
                <w:color w:val="000000"/>
                <w:sz w:val="21"/>
                <w:szCs w:val="21"/>
              </w:rPr>
            </w:pPr>
            <w:r w:rsidRPr="00370727">
              <w:rPr>
                <w:rFonts w:ascii="Calibri" w:hAnsi="Calibri"/>
                <w:b/>
                <w:color w:val="000000"/>
                <w:sz w:val="21"/>
                <w:szCs w:val="21"/>
              </w:rPr>
              <w:t>£’000</w:t>
            </w:r>
          </w:p>
        </w:tc>
        <w:tc>
          <w:tcPr>
            <w:tcW w:w="801" w:type="dxa"/>
            <w:tcBorders>
              <w:top w:val="single" w:sz="8" w:space="0" w:color="auto"/>
              <w:left w:val="nil"/>
              <w:bottom w:val="nil"/>
              <w:right w:val="nil"/>
            </w:tcBorders>
            <w:shd w:val="clear" w:color="auto" w:fill="auto"/>
            <w:noWrap/>
            <w:vAlign w:val="bottom"/>
            <w:hideMark/>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£’000</w:t>
            </w:r>
          </w:p>
        </w:tc>
        <w:tc>
          <w:tcPr>
            <w:tcW w:w="801" w:type="dxa"/>
            <w:tcBorders>
              <w:top w:val="single" w:sz="8" w:space="0" w:color="auto"/>
              <w:left w:val="nil"/>
              <w:bottom w:val="nil"/>
              <w:right w:val="single" w:sz="8" w:space="0" w:color="auto"/>
            </w:tcBorders>
            <w:shd w:val="clear" w:color="auto" w:fill="auto"/>
            <w:noWrap/>
            <w:vAlign w:val="bottom"/>
            <w:hideMark/>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£’000</w:t>
            </w:r>
          </w:p>
        </w:tc>
        <w:tc>
          <w:tcPr>
            <w:tcW w:w="241" w:type="dxa"/>
            <w:tcBorders>
              <w:top w:val="nil"/>
              <w:left w:val="single" w:sz="8" w:space="0" w:color="auto"/>
              <w:bottom w:val="nil"/>
              <w:right w:val="single" w:sz="8" w:space="0" w:color="auto"/>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2268" w:type="dxa"/>
            <w:tcBorders>
              <w:top w:val="single" w:sz="8" w:space="0" w:color="auto"/>
              <w:left w:val="single" w:sz="8" w:space="0" w:color="auto"/>
              <w:bottom w:val="nil"/>
              <w:right w:val="nil"/>
            </w:tcBorders>
            <w:shd w:val="clear" w:color="auto" w:fill="auto"/>
            <w:noWrap/>
            <w:vAlign w:val="bottom"/>
            <w:hideMark/>
          </w:tcPr>
          <w:p w:rsidR="00FD4870" w:rsidRPr="00370727" w:rsidRDefault="00FD4870" w:rsidP="002B0CA2">
            <w:pPr>
              <w:rPr>
                <w:rFonts w:ascii="Calibri" w:hAnsi="Calibri"/>
                <w:b/>
                <w:bCs/>
                <w:color w:val="000000"/>
                <w:sz w:val="21"/>
                <w:szCs w:val="21"/>
              </w:rPr>
            </w:pPr>
            <w:r w:rsidRPr="00370727">
              <w:rPr>
                <w:rFonts w:ascii="Calibri" w:hAnsi="Calibri"/>
                <w:b/>
                <w:bCs/>
                <w:color w:val="000000"/>
                <w:sz w:val="21"/>
                <w:szCs w:val="21"/>
              </w:rPr>
              <w:t>Technical</w:t>
            </w:r>
          </w:p>
        </w:tc>
        <w:tc>
          <w:tcPr>
            <w:tcW w:w="850" w:type="dxa"/>
            <w:tcBorders>
              <w:top w:val="single" w:sz="8" w:space="0" w:color="auto"/>
              <w:left w:val="nil"/>
              <w:bottom w:val="nil"/>
              <w:right w:val="nil"/>
            </w:tcBorders>
            <w:shd w:val="clear" w:color="auto" w:fill="auto"/>
            <w:noWrap/>
            <w:vAlign w:val="bottom"/>
            <w:hideMark/>
          </w:tcPr>
          <w:p w:rsidR="00FD4870" w:rsidRPr="00370727" w:rsidRDefault="00FD4870" w:rsidP="002B0CA2">
            <w:pPr>
              <w:jc w:val="right"/>
              <w:rPr>
                <w:rFonts w:ascii="Calibri" w:hAnsi="Calibri"/>
                <w:b/>
                <w:color w:val="000000"/>
                <w:sz w:val="21"/>
                <w:szCs w:val="21"/>
              </w:rPr>
            </w:pPr>
            <w:r w:rsidRPr="00370727">
              <w:rPr>
                <w:rFonts w:ascii="Calibri" w:hAnsi="Calibri"/>
                <w:b/>
                <w:color w:val="000000"/>
                <w:sz w:val="21"/>
                <w:szCs w:val="21"/>
              </w:rPr>
              <w:t>£’000</w:t>
            </w:r>
          </w:p>
        </w:tc>
        <w:tc>
          <w:tcPr>
            <w:tcW w:w="851" w:type="dxa"/>
            <w:tcBorders>
              <w:top w:val="single" w:sz="8" w:space="0" w:color="auto"/>
              <w:left w:val="nil"/>
              <w:bottom w:val="nil"/>
              <w:right w:val="nil"/>
            </w:tcBorders>
            <w:shd w:val="clear" w:color="auto" w:fill="auto"/>
            <w:noWrap/>
            <w:vAlign w:val="bottom"/>
            <w:hideMark/>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£’000</w:t>
            </w:r>
          </w:p>
        </w:tc>
        <w:tc>
          <w:tcPr>
            <w:tcW w:w="708" w:type="dxa"/>
            <w:tcBorders>
              <w:top w:val="single" w:sz="8" w:space="0" w:color="auto"/>
              <w:left w:val="nil"/>
              <w:bottom w:val="nil"/>
              <w:right w:val="single" w:sz="8" w:space="0" w:color="auto"/>
            </w:tcBorders>
            <w:shd w:val="clear" w:color="auto" w:fill="auto"/>
            <w:noWrap/>
            <w:vAlign w:val="bottom"/>
            <w:hideMark/>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£’000</w:t>
            </w:r>
          </w:p>
        </w:tc>
      </w:tr>
      <w:tr w:rsidR="00FD4870" w:rsidRPr="00370727" w:rsidTr="007F03AD">
        <w:trPr>
          <w:trHeight w:val="85"/>
        </w:trPr>
        <w:tc>
          <w:tcPr>
            <w:tcW w:w="2283" w:type="dxa"/>
            <w:tcBorders>
              <w:top w:val="nil"/>
              <w:left w:val="single" w:sz="8" w:space="0" w:color="auto"/>
              <w:bottom w:val="nil"/>
              <w:right w:val="nil"/>
            </w:tcBorders>
            <w:shd w:val="clear" w:color="auto" w:fill="auto"/>
            <w:noWrap/>
            <w:vAlign w:val="bottom"/>
            <w:hideMark/>
          </w:tcPr>
          <w:p w:rsidR="00FD4870" w:rsidRPr="00370727" w:rsidRDefault="00FD4870" w:rsidP="002B0CA2">
            <w:pPr>
              <w:rPr>
                <w:rFonts w:ascii="Calibri" w:hAnsi="Calibri"/>
                <w:color w:val="000000"/>
                <w:sz w:val="21"/>
                <w:szCs w:val="21"/>
              </w:rPr>
            </w:pPr>
            <w:r w:rsidRPr="00370727">
              <w:rPr>
                <w:rFonts w:ascii="Calibri" w:hAnsi="Calibri"/>
                <w:color w:val="000000"/>
                <w:sz w:val="21"/>
                <w:szCs w:val="21"/>
              </w:rPr>
              <w:t>Revenue</w:t>
            </w:r>
          </w:p>
        </w:tc>
        <w:tc>
          <w:tcPr>
            <w:tcW w:w="85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b/>
                <w:color w:val="000000"/>
                <w:sz w:val="21"/>
                <w:szCs w:val="21"/>
              </w:rPr>
            </w:pPr>
            <w:r w:rsidRPr="00370727">
              <w:rPr>
                <w:rFonts w:ascii="Calibri" w:hAnsi="Calibri"/>
                <w:b/>
                <w:color w:val="000000"/>
                <w:sz w:val="21"/>
                <w:szCs w:val="21"/>
              </w:rPr>
              <w:t>46,362</w:t>
            </w:r>
          </w:p>
        </w:tc>
        <w:tc>
          <w:tcPr>
            <w:tcW w:w="80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49,813</w:t>
            </w:r>
          </w:p>
        </w:tc>
        <w:tc>
          <w:tcPr>
            <w:tcW w:w="801" w:type="dxa"/>
            <w:tcBorders>
              <w:top w:val="nil"/>
              <w:left w:val="nil"/>
              <w:bottom w:val="nil"/>
              <w:right w:val="single" w:sz="8" w:space="0" w:color="auto"/>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61,646</w:t>
            </w:r>
          </w:p>
        </w:tc>
        <w:tc>
          <w:tcPr>
            <w:tcW w:w="241" w:type="dxa"/>
            <w:tcBorders>
              <w:top w:val="nil"/>
              <w:left w:val="single" w:sz="8" w:space="0" w:color="auto"/>
              <w:bottom w:val="nil"/>
              <w:right w:val="single" w:sz="8" w:space="0" w:color="auto"/>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2268" w:type="dxa"/>
            <w:tcBorders>
              <w:top w:val="nil"/>
              <w:left w:val="single" w:sz="8" w:space="0" w:color="auto"/>
              <w:bottom w:val="nil"/>
              <w:right w:val="nil"/>
            </w:tcBorders>
            <w:shd w:val="clear" w:color="auto" w:fill="auto"/>
            <w:noWrap/>
            <w:vAlign w:val="bottom"/>
            <w:hideMark/>
          </w:tcPr>
          <w:p w:rsidR="00FD4870" w:rsidRPr="00370727" w:rsidRDefault="00FD4870" w:rsidP="002B0CA2">
            <w:pPr>
              <w:rPr>
                <w:rFonts w:ascii="Calibri" w:hAnsi="Calibri"/>
                <w:color w:val="000000"/>
                <w:sz w:val="21"/>
                <w:szCs w:val="21"/>
              </w:rPr>
            </w:pPr>
            <w:r w:rsidRPr="00370727">
              <w:rPr>
                <w:rFonts w:ascii="Calibri" w:hAnsi="Calibri"/>
                <w:color w:val="000000"/>
                <w:sz w:val="21"/>
                <w:szCs w:val="21"/>
              </w:rPr>
              <w:t>Revenue</w:t>
            </w:r>
          </w:p>
        </w:tc>
        <w:tc>
          <w:tcPr>
            <w:tcW w:w="850"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b/>
                <w:color w:val="000000"/>
                <w:sz w:val="21"/>
                <w:szCs w:val="21"/>
              </w:rPr>
            </w:pPr>
            <w:r w:rsidRPr="00370727">
              <w:rPr>
                <w:rFonts w:ascii="Calibri" w:hAnsi="Calibri"/>
                <w:b/>
                <w:color w:val="000000"/>
                <w:sz w:val="21"/>
                <w:szCs w:val="21"/>
              </w:rPr>
              <w:t>36,778</w:t>
            </w:r>
          </w:p>
        </w:tc>
        <w:tc>
          <w:tcPr>
            <w:tcW w:w="85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31,954</w:t>
            </w:r>
          </w:p>
        </w:tc>
        <w:tc>
          <w:tcPr>
            <w:tcW w:w="708" w:type="dxa"/>
            <w:tcBorders>
              <w:top w:val="nil"/>
              <w:left w:val="nil"/>
              <w:bottom w:val="nil"/>
              <w:right w:val="single" w:sz="8" w:space="0" w:color="auto"/>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22,621</w:t>
            </w:r>
          </w:p>
        </w:tc>
      </w:tr>
      <w:tr w:rsidR="00FD4870" w:rsidRPr="00370727" w:rsidTr="00FD4870">
        <w:trPr>
          <w:trHeight w:val="300"/>
        </w:trPr>
        <w:tc>
          <w:tcPr>
            <w:tcW w:w="2283" w:type="dxa"/>
            <w:tcBorders>
              <w:top w:val="nil"/>
              <w:left w:val="single" w:sz="8" w:space="0" w:color="auto"/>
              <w:bottom w:val="nil"/>
              <w:right w:val="nil"/>
            </w:tcBorders>
            <w:shd w:val="clear" w:color="auto" w:fill="auto"/>
            <w:noWrap/>
            <w:vAlign w:val="bottom"/>
            <w:hideMark/>
          </w:tcPr>
          <w:p w:rsidR="00FD4870" w:rsidRPr="00370727" w:rsidRDefault="00FD4870" w:rsidP="002B0CA2">
            <w:pPr>
              <w:rPr>
                <w:rFonts w:ascii="Calibri" w:hAnsi="Calibri"/>
                <w:color w:val="000000"/>
                <w:sz w:val="21"/>
                <w:szCs w:val="21"/>
              </w:rPr>
            </w:pPr>
            <w:r w:rsidRPr="00370727">
              <w:rPr>
                <w:rFonts w:ascii="Calibri" w:hAnsi="Calibri"/>
                <w:color w:val="000000"/>
                <w:sz w:val="21"/>
                <w:szCs w:val="21"/>
              </w:rPr>
              <w:t>Divisional operating profit</w:t>
            </w:r>
          </w:p>
        </w:tc>
        <w:tc>
          <w:tcPr>
            <w:tcW w:w="85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b/>
                <w:color w:val="000000"/>
                <w:sz w:val="21"/>
                <w:szCs w:val="21"/>
              </w:rPr>
            </w:pPr>
            <w:r w:rsidRPr="00370727">
              <w:rPr>
                <w:rFonts w:ascii="Calibri" w:hAnsi="Calibri"/>
                <w:b/>
                <w:color w:val="000000"/>
                <w:sz w:val="21"/>
                <w:szCs w:val="21"/>
              </w:rPr>
              <w:t>5,348</w:t>
            </w:r>
          </w:p>
        </w:tc>
        <w:tc>
          <w:tcPr>
            <w:tcW w:w="80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7,121</w:t>
            </w:r>
          </w:p>
        </w:tc>
        <w:tc>
          <w:tcPr>
            <w:tcW w:w="801" w:type="dxa"/>
            <w:tcBorders>
              <w:top w:val="nil"/>
              <w:left w:val="nil"/>
              <w:bottom w:val="nil"/>
              <w:right w:val="single" w:sz="8" w:space="0" w:color="auto"/>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14,309</w:t>
            </w:r>
          </w:p>
        </w:tc>
        <w:tc>
          <w:tcPr>
            <w:tcW w:w="241" w:type="dxa"/>
            <w:tcBorders>
              <w:top w:val="nil"/>
              <w:left w:val="single" w:sz="8" w:space="0" w:color="auto"/>
              <w:bottom w:val="nil"/>
              <w:right w:val="single" w:sz="8" w:space="0" w:color="auto"/>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2268" w:type="dxa"/>
            <w:tcBorders>
              <w:top w:val="nil"/>
              <w:left w:val="single" w:sz="8" w:space="0" w:color="auto"/>
              <w:bottom w:val="nil"/>
              <w:right w:val="nil"/>
            </w:tcBorders>
            <w:shd w:val="clear" w:color="auto" w:fill="auto"/>
            <w:noWrap/>
            <w:vAlign w:val="bottom"/>
            <w:hideMark/>
          </w:tcPr>
          <w:p w:rsidR="00FD4870" w:rsidRPr="00370727" w:rsidRDefault="00FD4870" w:rsidP="002B0CA2">
            <w:pPr>
              <w:rPr>
                <w:rFonts w:ascii="Calibri" w:hAnsi="Calibri"/>
                <w:color w:val="000000"/>
                <w:sz w:val="21"/>
                <w:szCs w:val="21"/>
              </w:rPr>
            </w:pPr>
            <w:r w:rsidRPr="00370727">
              <w:rPr>
                <w:rFonts w:ascii="Calibri" w:hAnsi="Calibri"/>
                <w:color w:val="000000"/>
                <w:sz w:val="21"/>
                <w:szCs w:val="21"/>
              </w:rPr>
              <w:t>Divisional operating profit</w:t>
            </w:r>
          </w:p>
        </w:tc>
        <w:tc>
          <w:tcPr>
            <w:tcW w:w="850"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b/>
                <w:color w:val="000000"/>
                <w:sz w:val="21"/>
                <w:szCs w:val="21"/>
              </w:rPr>
            </w:pPr>
            <w:r w:rsidRPr="00370727">
              <w:rPr>
                <w:rFonts w:ascii="Calibri" w:hAnsi="Calibri"/>
                <w:b/>
                <w:color w:val="000000"/>
                <w:sz w:val="21"/>
                <w:szCs w:val="21"/>
              </w:rPr>
              <w:t>3,437</w:t>
            </w:r>
          </w:p>
        </w:tc>
        <w:tc>
          <w:tcPr>
            <w:tcW w:w="85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1,833</w:t>
            </w:r>
          </w:p>
        </w:tc>
        <w:tc>
          <w:tcPr>
            <w:tcW w:w="708" w:type="dxa"/>
            <w:tcBorders>
              <w:top w:val="nil"/>
              <w:left w:val="nil"/>
              <w:bottom w:val="nil"/>
              <w:right w:val="single" w:sz="8" w:space="0" w:color="auto"/>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1,319</w:t>
            </w:r>
          </w:p>
        </w:tc>
      </w:tr>
      <w:tr w:rsidR="00FD4870" w:rsidRPr="00370727" w:rsidTr="007F03AD">
        <w:trPr>
          <w:trHeight w:val="166"/>
        </w:trPr>
        <w:tc>
          <w:tcPr>
            <w:tcW w:w="2283" w:type="dxa"/>
            <w:tcBorders>
              <w:top w:val="nil"/>
              <w:left w:val="single" w:sz="8" w:space="0" w:color="auto"/>
              <w:bottom w:val="nil"/>
              <w:right w:val="nil"/>
            </w:tcBorders>
            <w:shd w:val="clear" w:color="auto" w:fill="auto"/>
            <w:noWrap/>
            <w:vAlign w:val="bottom"/>
            <w:hideMark/>
          </w:tcPr>
          <w:p w:rsidR="00FD4870" w:rsidRPr="00370727" w:rsidRDefault="00FD4870" w:rsidP="002B0CA2">
            <w:pPr>
              <w:rPr>
                <w:rFonts w:ascii="Calibri" w:hAnsi="Calibri"/>
                <w:color w:val="000000"/>
                <w:sz w:val="21"/>
                <w:szCs w:val="21"/>
              </w:rPr>
            </w:pPr>
            <w:r w:rsidRPr="00370727">
              <w:rPr>
                <w:rFonts w:ascii="Calibri" w:hAnsi="Calibri"/>
                <w:color w:val="000000"/>
                <w:sz w:val="21"/>
                <w:szCs w:val="21"/>
              </w:rPr>
              <w:t>Operating profit margin</w:t>
            </w:r>
          </w:p>
        </w:tc>
        <w:tc>
          <w:tcPr>
            <w:tcW w:w="85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b/>
                <w:color w:val="000000"/>
                <w:sz w:val="21"/>
                <w:szCs w:val="21"/>
              </w:rPr>
            </w:pPr>
            <w:r w:rsidRPr="00370727">
              <w:rPr>
                <w:rFonts w:ascii="Calibri" w:hAnsi="Calibri"/>
                <w:b/>
                <w:color w:val="000000"/>
                <w:sz w:val="21"/>
                <w:szCs w:val="21"/>
              </w:rPr>
              <w:t>11.5%</w:t>
            </w:r>
          </w:p>
        </w:tc>
        <w:tc>
          <w:tcPr>
            <w:tcW w:w="80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14.3%</w:t>
            </w:r>
          </w:p>
        </w:tc>
        <w:tc>
          <w:tcPr>
            <w:tcW w:w="801" w:type="dxa"/>
            <w:tcBorders>
              <w:top w:val="nil"/>
              <w:left w:val="nil"/>
              <w:bottom w:val="nil"/>
              <w:right w:val="single" w:sz="8" w:space="0" w:color="auto"/>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23.2%</w:t>
            </w:r>
          </w:p>
        </w:tc>
        <w:tc>
          <w:tcPr>
            <w:tcW w:w="241" w:type="dxa"/>
            <w:tcBorders>
              <w:top w:val="nil"/>
              <w:left w:val="single" w:sz="8" w:space="0" w:color="auto"/>
              <w:bottom w:val="nil"/>
              <w:right w:val="single" w:sz="8" w:space="0" w:color="auto"/>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2268" w:type="dxa"/>
            <w:tcBorders>
              <w:top w:val="nil"/>
              <w:left w:val="single" w:sz="8" w:space="0" w:color="auto"/>
              <w:bottom w:val="nil"/>
              <w:right w:val="nil"/>
            </w:tcBorders>
            <w:shd w:val="clear" w:color="auto" w:fill="auto"/>
            <w:noWrap/>
            <w:vAlign w:val="bottom"/>
            <w:hideMark/>
          </w:tcPr>
          <w:p w:rsidR="00FD4870" w:rsidRPr="00370727" w:rsidRDefault="00FD4870" w:rsidP="002B0CA2">
            <w:pPr>
              <w:rPr>
                <w:rFonts w:ascii="Calibri" w:hAnsi="Calibri"/>
                <w:color w:val="000000"/>
                <w:sz w:val="21"/>
                <w:szCs w:val="21"/>
              </w:rPr>
            </w:pPr>
            <w:r w:rsidRPr="00370727">
              <w:rPr>
                <w:rFonts w:ascii="Calibri" w:hAnsi="Calibri"/>
                <w:color w:val="000000"/>
                <w:sz w:val="21"/>
                <w:szCs w:val="21"/>
              </w:rPr>
              <w:t>Operating profit margin</w:t>
            </w:r>
          </w:p>
        </w:tc>
        <w:tc>
          <w:tcPr>
            <w:tcW w:w="850"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b/>
                <w:color w:val="000000"/>
                <w:sz w:val="21"/>
                <w:szCs w:val="21"/>
              </w:rPr>
            </w:pPr>
            <w:r w:rsidRPr="00370727">
              <w:rPr>
                <w:rFonts w:ascii="Calibri" w:hAnsi="Calibri"/>
                <w:b/>
                <w:color w:val="000000"/>
                <w:sz w:val="21"/>
                <w:szCs w:val="21"/>
              </w:rPr>
              <w:t>9.3%</w:t>
            </w:r>
          </w:p>
        </w:tc>
        <w:tc>
          <w:tcPr>
            <w:tcW w:w="85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5.7%</w:t>
            </w:r>
          </w:p>
        </w:tc>
        <w:tc>
          <w:tcPr>
            <w:tcW w:w="708" w:type="dxa"/>
            <w:tcBorders>
              <w:top w:val="nil"/>
              <w:left w:val="nil"/>
              <w:bottom w:val="nil"/>
              <w:right w:val="single" w:sz="8" w:space="0" w:color="auto"/>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5.8%</w:t>
            </w:r>
          </w:p>
        </w:tc>
      </w:tr>
      <w:tr w:rsidR="00FD4870" w:rsidRPr="00370727" w:rsidTr="007F03AD">
        <w:trPr>
          <w:trHeight w:val="240"/>
        </w:trPr>
        <w:tc>
          <w:tcPr>
            <w:tcW w:w="2283" w:type="dxa"/>
            <w:tcBorders>
              <w:top w:val="nil"/>
              <w:left w:val="single" w:sz="8" w:space="0" w:color="auto"/>
              <w:bottom w:val="single" w:sz="8" w:space="0" w:color="auto"/>
              <w:right w:val="nil"/>
            </w:tcBorders>
            <w:shd w:val="clear" w:color="auto" w:fill="auto"/>
            <w:noWrap/>
            <w:vAlign w:val="bottom"/>
            <w:hideMark/>
          </w:tcPr>
          <w:p w:rsidR="00FD4870" w:rsidRPr="00370727" w:rsidRDefault="00FD4870" w:rsidP="002B0CA2">
            <w:pPr>
              <w:rPr>
                <w:rFonts w:ascii="Calibri" w:hAnsi="Calibri"/>
                <w:color w:val="000000"/>
                <w:sz w:val="21"/>
                <w:szCs w:val="21"/>
              </w:rPr>
            </w:pPr>
            <w:r w:rsidRPr="00370727">
              <w:rPr>
                <w:rFonts w:ascii="Calibri" w:hAnsi="Calibri"/>
                <w:color w:val="000000"/>
                <w:sz w:val="21"/>
                <w:szCs w:val="21"/>
              </w:rPr>
              <w:t>Employee numbers</w:t>
            </w:r>
          </w:p>
        </w:tc>
        <w:tc>
          <w:tcPr>
            <w:tcW w:w="851" w:type="dxa"/>
            <w:tcBorders>
              <w:top w:val="nil"/>
              <w:left w:val="nil"/>
              <w:bottom w:val="single" w:sz="8" w:space="0" w:color="auto"/>
              <w:right w:val="nil"/>
            </w:tcBorders>
            <w:shd w:val="clear" w:color="auto" w:fill="auto"/>
            <w:noWrap/>
            <w:vAlign w:val="bottom"/>
          </w:tcPr>
          <w:p w:rsidR="00FD4870" w:rsidRPr="00370727" w:rsidRDefault="00FD4870" w:rsidP="00C142C7">
            <w:pPr>
              <w:jc w:val="right"/>
              <w:rPr>
                <w:rFonts w:ascii="Calibri" w:hAnsi="Calibri"/>
                <w:b/>
                <w:color w:val="000000"/>
                <w:sz w:val="21"/>
                <w:szCs w:val="21"/>
              </w:rPr>
            </w:pPr>
            <w:r>
              <w:rPr>
                <w:rFonts w:ascii="Calibri" w:hAnsi="Calibri"/>
                <w:b/>
                <w:color w:val="000000"/>
                <w:sz w:val="21"/>
                <w:szCs w:val="21"/>
              </w:rPr>
              <w:t>2</w:t>
            </w:r>
            <w:r w:rsidR="00C142C7">
              <w:rPr>
                <w:rFonts w:ascii="Calibri" w:hAnsi="Calibri"/>
                <w:b/>
                <w:color w:val="000000"/>
                <w:sz w:val="21"/>
                <w:szCs w:val="21"/>
              </w:rPr>
              <w:t>8</w:t>
            </w:r>
            <w:r>
              <w:rPr>
                <w:rFonts w:ascii="Calibri" w:hAnsi="Calibri"/>
                <w:b/>
                <w:color w:val="000000"/>
                <w:sz w:val="21"/>
                <w:szCs w:val="21"/>
              </w:rPr>
              <w:t>9</w:t>
            </w:r>
          </w:p>
        </w:tc>
        <w:tc>
          <w:tcPr>
            <w:tcW w:w="801" w:type="dxa"/>
            <w:tcBorders>
              <w:top w:val="nil"/>
              <w:left w:val="nil"/>
              <w:bottom w:val="single" w:sz="8" w:space="0" w:color="auto"/>
              <w:right w:val="nil"/>
            </w:tcBorders>
            <w:shd w:val="clear" w:color="auto" w:fill="auto"/>
            <w:noWrap/>
            <w:vAlign w:val="bottom"/>
          </w:tcPr>
          <w:p w:rsidR="00FD4870" w:rsidRPr="00370727" w:rsidRDefault="00FD4870" w:rsidP="00C142C7">
            <w:pPr>
              <w:jc w:val="right"/>
              <w:rPr>
                <w:rFonts w:ascii="Calibri" w:hAnsi="Calibri"/>
                <w:color w:val="000000"/>
                <w:sz w:val="21"/>
                <w:szCs w:val="21"/>
              </w:rPr>
            </w:pPr>
            <w:r w:rsidRPr="00370727">
              <w:rPr>
                <w:rFonts w:ascii="Calibri" w:hAnsi="Calibri"/>
                <w:color w:val="000000"/>
                <w:sz w:val="21"/>
                <w:szCs w:val="21"/>
              </w:rPr>
              <w:t>2</w:t>
            </w:r>
            <w:r w:rsidR="00C142C7">
              <w:rPr>
                <w:rFonts w:ascii="Calibri" w:hAnsi="Calibri"/>
                <w:color w:val="000000"/>
                <w:sz w:val="21"/>
                <w:szCs w:val="21"/>
              </w:rPr>
              <w:t>99</w:t>
            </w:r>
          </w:p>
        </w:tc>
        <w:tc>
          <w:tcPr>
            <w:tcW w:w="801" w:type="dxa"/>
            <w:tcBorders>
              <w:top w:val="nil"/>
              <w:left w:val="nil"/>
              <w:bottom w:val="single" w:sz="8" w:space="0" w:color="auto"/>
              <w:right w:val="single" w:sz="8" w:space="0" w:color="auto"/>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288</w:t>
            </w:r>
          </w:p>
        </w:tc>
        <w:tc>
          <w:tcPr>
            <w:tcW w:w="241" w:type="dxa"/>
            <w:tcBorders>
              <w:top w:val="nil"/>
              <w:left w:val="single" w:sz="8" w:space="0" w:color="auto"/>
              <w:bottom w:val="nil"/>
              <w:right w:val="single" w:sz="8" w:space="0" w:color="auto"/>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2268" w:type="dxa"/>
            <w:tcBorders>
              <w:top w:val="nil"/>
              <w:left w:val="single" w:sz="8" w:space="0" w:color="auto"/>
              <w:bottom w:val="single" w:sz="8" w:space="0" w:color="auto"/>
              <w:right w:val="nil"/>
            </w:tcBorders>
            <w:shd w:val="clear" w:color="auto" w:fill="auto"/>
            <w:noWrap/>
            <w:vAlign w:val="bottom"/>
            <w:hideMark/>
          </w:tcPr>
          <w:p w:rsidR="00FD4870" w:rsidRPr="00370727" w:rsidRDefault="00FD4870" w:rsidP="002B0CA2">
            <w:pPr>
              <w:rPr>
                <w:rFonts w:ascii="Calibri" w:hAnsi="Calibri"/>
                <w:color w:val="000000"/>
                <w:sz w:val="21"/>
                <w:szCs w:val="21"/>
              </w:rPr>
            </w:pPr>
            <w:r w:rsidRPr="00370727">
              <w:rPr>
                <w:rFonts w:ascii="Calibri" w:hAnsi="Calibri"/>
                <w:color w:val="000000"/>
                <w:sz w:val="21"/>
                <w:szCs w:val="21"/>
              </w:rPr>
              <w:t>Employee numbers</w:t>
            </w:r>
          </w:p>
        </w:tc>
        <w:tc>
          <w:tcPr>
            <w:tcW w:w="850" w:type="dxa"/>
            <w:tcBorders>
              <w:top w:val="nil"/>
              <w:left w:val="nil"/>
              <w:bottom w:val="single" w:sz="8" w:space="0" w:color="auto"/>
              <w:right w:val="nil"/>
            </w:tcBorders>
            <w:shd w:val="clear" w:color="auto" w:fill="auto"/>
            <w:noWrap/>
            <w:vAlign w:val="bottom"/>
          </w:tcPr>
          <w:p w:rsidR="00FD4870" w:rsidRPr="00370727" w:rsidRDefault="00FD4870" w:rsidP="00C142C7">
            <w:pPr>
              <w:jc w:val="right"/>
              <w:rPr>
                <w:rFonts w:ascii="Calibri" w:hAnsi="Calibri"/>
                <w:b/>
                <w:color w:val="000000"/>
                <w:sz w:val="21"/>
                <w:szCs w:val="21"/>
              </w:rPr>
            </w:pPr>
            <w:r>
              <w:rPr>
                <w:rFonts w:ascii="Calibri" w:hAnsi="Calibri"/>
                <w:b/>
                <w:color w:val="000000"/>
                <w:sz w:val="21"/>
                <w:szCs w:val="21"/>
              </w:rPr>
              <w:t>35</w:t>
            </w:r>
            <w:r w:rsidR="00C142C7">
              <w:rPr>
                <w:rFonts w:ascii="Calibri" w:hAnsi="Calibri"/>
                <w:b/>
                <w:color w:val="000000"/>
                <w:sz w:val="21"/>
                <w:szCs w:val="21"/>
              </w:rPr>
              <w:t>1</w:t>
            </w:r>
          </w:p>
        </w:tc>
        <w:tc>
          <w:tcPr>
            <w:tcW w:w="851" w:type="dxa"/>
            <w:tcBorders>
              <w:top w:val="nil"/>
              <w:left w:val="nil"/>
              <w:bottom w:val="single" w:sz="8" w:space="0" w:color="auto"/>
              <w:right w:val="nil"/>
            </w:tcBorders>
            <w:shd w:val="clear" w:color="auto" w:fill="auto"/>
            <w:noWrap/>
            <w:vAlign w:val="bottom"/>
          </w:tcPr>
          <w:p w:rsidR="00FD4870" w:rsidRPr="00370727" w:rsidRDefault="00FD4870" w:rsidP="00C142C7">
            <w:pPr>
              <w:jc w:val="right"/>
              <w:rPr>
                <w:rFonts w:ascii="Calibri" w:hAnsi="Calibri"/>
                <w:color w:val="000000"/>
                <w:sz w:val="21"/>
                <w:szCs w:val="21"/>
              </w:rPr>
            </w:pPr>
            <w:r w:rsidRPr="00370727">
              <w:rPr>
                <w:rFonts w:ascii="Calibri" w:hAnsi="Calibri"/>
                <w:color w:val="000000"/>
                <w:sz w:val="21"/>
                <w:szCs w:val="21"/>
              </w:rPr>
              <w:t>3</w:t>
            </w:r>
            <w:r w:rsidR="00C142C7">
              <w:rPr>
                <w:rFonts w:ascii="Calibri" w:hAnsi="Calibri"/>
                <w:color w:val="000000"/>
                <w:sz w:val="21"/>
                <w:szCs w:val="21"/>
              </w:rPr>
              <w:t>40</w:t>
            </w:r>
          </w:p>
        </w:tc>
        <w:tc>
          <w:tcPr>
            <w:tcW w:w="708" w:type="dxa"/>
            <w:tcBorders>
              <w:top w:val="nil"/>
              <w:left w:val="nil"/>
              <w:bottom w:val="single" w:sz="8" w:space="0" w:color="auto"/>
              <w:right w:val="single" w:sz="8" w:space="0" w:color="auto"/>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222</w:t>
            </w:r>
          </w:p>
        </w:tc>
      </w:tr>
      <w:tr w:rsidR="00FD4870" w:rsidRPr="00370727" w:rsidTr="007F03AD">
        <w:trPr>
          <w:trHeight w:val="196"/>
        </w:trPr>
        <w:tc>
          <w:tcPr>
            <w:tcW w:w="2283" w:type="dxa"/>
            <w:tcBorders>
              <w:top w:val="single" w:sz="8" w:space="0" w:color="auto"/>
              <w:left w:val="nil"/>
              <w:bottom w:val="single" w:sz="8" w:space="0" w:color="auto"/>
              <w:right w:val="nil"/>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851" w:type="dxa"/>
            <w:tcBorders>
              <w:top w:val="single" w:sz="8" w:space="0" w:color="auto"/>
              <w:left w:val="nil"/>
              <w:bottom w:val="single" w:sz="8" w:space="0" w:color="auto"/>
              <w:right w:val="nil"/>
            </w:tcBorders>
            <w:shd w:val="clear" w:color="auto" w:fill="auto"/>
            <w:noWrap/>
            <w:vAlign w:val="bottom"/>
            <w:hideMark/>
          </w:tcPr>
          <w:p w:rsidR="00FD4870" w:rsidRPr="00370727" w:rsidRDefault="00FD4870" w:rsidP="002B0CA2">
            <w:pPr>
              <w:rPr>
                <w:rFonts w:ascii="Calibri" w:hAnsi="Calibri"/>
                <w:b/>
                <w:color w:val="000000"/>
                <w:sz w:val="21"/>
                <w:szCs w:val="21"/>
              </w:rPr>
            </w:pPr>
          </w:p>
        </w:tc>
        <w:tc>
          <w:tcPr>
            <w:tcW w:w="801" w:type="dxa"/>
            <w:tcBorders>
              <w:top w:val="single" w:sz="8" w:space="0" w:color="auto"/>
              <w:left w:val="nil"/>
              <w:bottom w:val="single" w:sz="8" w:space="0" w:color="auto"/>
              <w:right w:val="nil"/>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801" w:type="dxa"/>
            <w:tcBorders>
              <w:top w:val="single" w:sz="8" w:space="0" w:color="auto"/>
              <w:left w:val="nil"/>
              <w:bottom w:val="single" w:sz="8" w:space="0" w:color="auto"/>
              <w:right w:val="nil"/>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241" w:type="dxa"/>
            <w:tcBorders>
              <w:top w:val="nil"/>
              <w:left w:val="nil"/>
              <w:bottom w:val="nil"/>
              <w:right w:val="nil"/>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2268" w:type="dxa"/>
            <w:tcBorders>
              <w:top w:val="single" w:sz="8" w:space="0" w:color="auto"/>
              <w:left w:val="nil"/>
              <w:bottom w:val="single" w:sz="8" w:space="0" w:color="auto"/>
              <w:right w:val="nil"/>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850" w:type="dxa"/>
            <w:tcBorders>
              <w:top w:val="single" w:sz="8" w:space="0" w:color="auto"/>
              <w:left w:val="nil"/>
              <w:bottom w:val="single" w:sz="8" w:space="0" w:color="auto"/>
              <w:right w:val="nil"/>
            </w:tcBorders>
            <w:shd w:val="clear" w:color="auto" w:fill="auto"/>
            <w:noWrap/>
            <w:vAlign w:val="bottom"/>
            <w:hideMark/>
          </w:tcPr>
          <w:p w:rsidR="00FD4870" w:rsidRPr="00370727" w:rsidRDefault="00FD4870" w:rsidP="002B0CA2">
            <w:pPr>
              <w:rPr>
                <w:rFonts w:ascii="Calibri" w:hAnsi="Calibri"/>
                <w:b/>
                <w:color w:val="000000"/>
                <w:sz w:val="21"/>
                <w:szCs w:val="21"/>
              </w:rPr>
            </w:pPr>
          </w:p>
        </w:tc>
        <w:tc>
          <w:tcPr>
            <w:tcW w:w="851" w:type="dxa"/>
            <w:tcBorders>
              <w:top w:val="single" w:sz="8" w:space="0" w:color="auto"/>
              <w:left w:val="nil"/>
              <w:bottom w:val="single" w:sz="8" w:space="0" w:color="auto"/>
              <w:right w:val="nil"/>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708" w:type="dxa"/>
            <w:tcBorders>
              <w:top w:val="single" w:sz="8" w:space="0" w:color="auto"/>
              <w:left w:val="nil"/>
              <w:bottom w:val="single" w:sz="8" w:space="0" w:color="auto"/>
              <w:right w:val="nil"/>
            </w:tcBorders>
            <w:shd w:val="clear" w:color="auto" w:fill="auto"/>
            <w:noWrap/>
            <w:vAlign w:val="bottom"/>
            <w:hideMark/>
          </w:tcPr>
          <w:p w:rsidR="00FD4870" w:rsidRPr="00370727" w:rsidRDefault="00FD4870" w:rsidP="002B0CA2">
            <w:pPr>
              <w:rPr>
                <w:rFonts w:ascii="Calibri" w:hAnsi="Calibri"/>
                <w:color w:val="000000"/>
                <w:sz w:val="21"/>
                <w:szCs w:val="21"/>
              </w:rPr>
            </w:pPr>
          </w:p>
        </w:tc>
      </w:tr>
      <w:tr w:rsidR="00FD4870" w:rsidRPr="00370727" w:rsidTr="007F03AD">
        <w:trPr>
          <w:trHeight w:val="128"/>
        </w:trPr>
        <w:tc>
          <w:tcPr>
            <w:tcW w:w="2283" w:type="dxa"/>
            <w:tcBorders>
              <w:top w:val="single" w:sz="8" w:space="0" w:color="auto"/>
              <w:left w:val="single" w:sz="8" w:space="0" w:color="auto"/>
              <w:bottom w:val="nil"/>
              <w:right w:val="nil"/>
            </w:tcBorders>
            <w:shd w:val="clear" w:color="auto" w:fill="auto"/>
            <w:noWrap/>
            <w:vAlign w:val="bottom"/>
            <w:hideMark/>
          </w:tcPr>
          <w:p w:rsidR="00FD4870" w:rsidRPr="00370727" w:rsidRDefault="00FD4870" w:rsidP="002B0CA2">
            <w:pPr>
              <w:rPr>
                <w:rFonts w:ascii="Calibri" w:hAnsi="Calibri"/>
                <w:b/>
                <w:bCs/>
                <w:color w:val="000000"/>
                <w:sz w:val="21"/>
                <w:szCs w:val="21"/>
              </w:rPr>
            </w:pPr>
            <w:r w:rsidRPr="00370727">
              <w:rPr>
                <w:rFonts w:ascii="Calibri" w:hAnsi="Calibri"/>
                <w:b/>
                <w:bCs/>
                <w:color w:val="000000"/>
                <w:sz w:val="21"/>
                <w:szCs w:val="21"/>
              </w:rPr>
              <w:t>Logistics</w:t>
            </w:r>
          </w:p>
        </w:tc>
        <w:tc>
          <w:tcPr>
            <w:tcW w:w="851" w:type="dxa"/>
            <w:tcBorders>
              <w:top w:val="single" w:sz="8" w:space="0" w:color="auto"/>
              <w:left w:val="nil"/>
              <w:bottom w:val="nil"/>
              <w:right w:val="nil"/>
            </w:tcBorders>
            <w:shd w:val="clear" w:color="auto" w:fill="auto"/>
            <w:noWrap/>
            <w:vAlign w:val="bottom"/>
            <w:hideMark/>
          </w:tcPr>
          <w:p w:rsidR="00FD4870" w:rsidRPr="00370727" w:rsidRDefault="00FD4870" w:rsidP="002B0CA2">
            <w:pPr>
              <w:rPr>
                <w:rFonts w:ascii="Calibri" w:hAnsi="Calibri"/>
                <w:b/>
                <w:color w:val="000000"/>
                <w:sz w:val="21"/>
                <w:szCs w:val="21"/>
              </w:rPr>
            </w:pPr>
          </w:p>
        </w:tc>
        <w:tc>
          <w:tcPr>
            <w:tcW w:w="801" w:type="dxa"/>
            <w:tcBorders>
              <w:top w:val="single" w:sz="8" w:space="0" w:color="auto"/>
              <w:left w:val="nil"/>
              <w:bottom w:val="nil"/>
              <w:right w:val="nil"/>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801" w:type="dxa"/>
            <w:tcBorders>
              <w:top w:val="single" w:sz="8" w:space="0" w:color="auto"/>
              <w:left w:val="nil"/>
              <w:bottom w:val="nil"/>
              <w:right w:val="single" w:sz="8" w:space="0" w:color="auto"/>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241" w:type="dxa"/>
            <w:tcBorders>
              <w:top w:val="nil"/>
              <w:left w:val="single" w:sz="8" w:space="0" w:color="auto"/>
              <w:bottom w:val="nil"/>
              <w:right w:val="single" w:sz="8" w:space="0" w:color="auto"/>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2268" w:type="dxa"/>
            <w:tcBorders>
              <w:top w:val="single" w:sz="8" w:space="0" w:color="auto"/>
              <w:left w:val="single" w:sz="8" w:space="0" w:color="auto"/>
              <w:bottom w:val="nil"/>
              <w:right w:val="nil"/>
            </w:tcBorders>
            <w:shd w:val="clear" w:color="auto" w:fill="auto"/>
            <w:noWrap/>
            <w:vAlign w:val="bottom"/>
            <w:hideMark/>
          </w:tcPr>
          <w:p w:rsidR="00FD4870" w:rsidRPr="00370727" w:rsidRDefault="00FD4870" w:rsidP="002B0CA2">
            <w:pPr>
              <w:rPr>
                <w:rFonts w:ascii="Calibri" w:hAnsi="Calibri"/>
                <w:b/>
                <w:bCs/>
                <w:color w:val="000000"/>
                <w:sz w:val="21"/>
                <w:szCs w:val="21"/>
              </w:rPr>
            </w:pPr>
            <w:r w:rsidRPr="00370727">
              <w:rPr>
                <w:rFonts w:ascii="Calibri" w:hAnsi="Calibri"/>
                <w:b/>
                <w:bCs/>
                <w:color w:val="000000"/>
                <w:sz w:val="21"/>
                <w:szCs w:val="21"/>
              </w:rPr>
              <w:t>Environmental</w:t>
            </w:r>
          </w:p>
        </w:tc>
        <w:tc>
          <w:tcPr>
            <w:tcW w:w="850" w:type="dxa"/>
            <w:tcBorders>
              <w:top w:val="single" w:sz="8" w:space="0" w:color="auto"/>
              <w:left w:val="nil"/>
              <w:bottom w:val="nil"/>
              <w:right w:val="nil"/>
            </w:tcBorders>
            <w:shd w:val="clear" w:color="auto" w:fill="auto"/>
            <w:noWrap/>
            <w:vAlign w:val="bottom"/>
            <w:hideMark/>
          </w:tcPr>
          <w:p w:rsidR="00FD4870" w:rsidRPr="00370727" w:rsidRDefault="00FD4870" w:rsidP="002B0CA2">
            <w:pPr>
              <w:rPr>
                <w:rFonts w:ascii="Calibri" w:hAnsi="Calibri"/>
                <w:b/>
                <w:color w:val="000000"/>
                <w:sz w:val="21"/>
                <w:szCs w:val="21"/>
              </w:rPr>
            </w:pPr>
          </w:p>
        </w:tc>
        <w:tc>
          <w:tcPr>
            <w:tcW w:w="851" w:type="dxa"/>
            <w:tcBorders>
              <w:top w:val="single" w:sz="8" w:space="0" w:color="auto"/>
              <w:left w:val="nil"/>
              <w:bottom w:val="nil"/>
              <w:right w:val="nil"/>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708" w:type="dxa"/>
            <w:tcBorders>
              <w:top w:val="single" w:sz="8" w:space="0" w:color="auto"/>
              <w:left w:val="nil"/>
              <w:bottom w:val="nil"/>
              <w:right w:val="single" w:sz="8" w:space="0" w:color="auto"/>
            </w:tcBorders>
            <w:shd w:val="clear" w:color="auto" w:fill="auto"/>
            <w:noWrap/>
            <w:vAlign w:val="bottom"/>
            <w:hideMark/>
          </w:tcPr>
          <w:p w:rsidR="00FD4870" w:rsidRPr="00370727" w:rsidRDefault="00FD4870" w:rsidP="002B0CA2">
            <w:pPr>
              <w:rPr>
                <w:rFonts w:ascii="Calibri" w:hAnsi="Calibri"/>
                <w:color w:val="000000"/>
                <w:sz w:val="21"/>
                <w:szCs w:val="21"/>
              </w:rPr>
            </w:pPr>
          </w:p>
        </w:tc>
      </w:tr>
      <w:tr w:rsidR="00FD4870" w:rsidRPr="00370727" w:rsidTr="007F03AD">
        <w:trPr>
          <w:trHeight w:val="153"/>
        </w:trPr>
        <w:tc>
          <w:tcPr>
            <w:tcW w:w="2283" w:type="dxa"/>
            <w:tcBorders>
              <w:top w:val="nil"/>
              <w:left w:val="single" w:sz="8" w:space="0" w:color="auto"/>
              <w:bottom w:val="nil"/>
              <w:right w:val="nil"/>
            </w:tcBorders>
            <w:shd w:val="clear" w:color="auto" w:fill="auto"/>
            <w:noWrap/>
            <w:vAlign w:val="bottom"/>
            <w:hideMark/>
          </w:tcPr>
          <w:p w:rsidR="00FD4870" w:rsidRPr="00370727" w:rsidRDefault="00FD4870" w:rsidP="002B0CA2">
            <w:pPr>
              <w:rPr>
                <w:rFonts w:ascii="Calibri" w:hAnsi="Calibri"/>
                <w:color w:val="000000"/>
                <w:sz w:val="21"/>
                <w:szCs w:val="21"/>
              </w:rPr>
            </w:pPr>
            <w:r w:rsidRPr="00370727">
              <w:rPr>
                <w:rFonts w:ascii="Calibri" w:hAnsi="Calibri"/>
                <w:color w:val="000000"/>
                <w:sz w:val="21"/>
                <w:szCs w:val="21"/>
              </w:rPr>
              <w:t>Revenue</w:t>
            </w:r>
          </w:p>
        </w:tc>
        <w:tc>
          <w:tcPr>
            <w:tcW w:w="85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b/>
                <w:color w:val="000000"/>
                <w:sz w:val="21"/>
                <w:szCs w:val="21"/>
              </w:rPr>
            </w:pPr>
            <w:r w:rsidRPr="00370727">
              <w:rPr>
                <w:rFonts w:ascii="Calibri" w:hAnsi="Calibri"/>
                <w:b/>
                <w:color w:val="000000"/>
                <w:sz w:val="21"/>
                <w:szCs w:val="21"/>
              </w:rPr>
              <w:t>37,495</w:t>
            </w:r>
          </w:p>
        </w:tc>
        <w:tc>
          <w:tcPr>
            <w:tcW w:w="80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37,630</w:t>
            </w:r>
          </w:p>
        </w:tc>
        <w:tc>
          <w:tcPr>
            <w:tcW w:w="801" w:type="dxa"/>
            <w:tcBorders>
              <w:top w:val="nil"/>
              <w:left w:val="nil"/>
              <w:bottom w:val="nil"/>
              <w:right w:val="single" w:sz="8" w:space="0" w:color="auto"/>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35,119</w:t>
            </w:r>
          </w:p>
        </w:tc>
        <w:tc>
          <w:tcPr>
            <w:tcW w:w="241" w:type="dxa"/>
            <w:tcBorders>
              <w:top w:val="nil"/>
              <w:left w:val="single" w:sz="8" w:space="0" w:color="auto"/>
              <w:bottom w:val="nil"/>
              <w:right w:val="single" w:sz="8" w:space="0" w:color="auto"/>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2268" w:type="dxa"/>
            <w:tcBorders>
              <w:top w:val="nil"/>
              <w:left w:val="single" w:sz="8" w:space="0" w:color="auto"/>
              <w:bottom w:val="nil"/>
              <w:right w:val="nil"/>
            </w:tcBorders>
            <w:shd w:val="clear" w:color="auto" w:fill="auto"/>
            <w:noWrap/>
            <w:vAlign w:val="bottom"/>
            <w:hideMark/>
          </w:tcPr>
          <w:p w:rsidR="00FD4870" w:rsidRPr="00370727" w:rsidRDefault="00FD4870" w:rsidP="002B0CA2">
            <w:pPr>
              <w:rPr>
                <w:rFonts w:ascii="Calibri" w:hAnsi="Calibri"/>
                <w:color w:val="000000"/>
                <w:sz w:val="21"/>
                <w:szCs w:val="21"/>
              </w:rPr>
            </w:pPr>
            <w:r w:rsidRPr="00370727">
              <w:rPr>
                <w:rFonts w:ascii="Calibri" w:hAnsi="Calibri"/>
                <w:color w:val="000000"/>
                <w:sz w:val="21"/>
                <w:szCs w:val="21"/>
              </w:rPr>
              <w:t>Revenue</w:t>
            </w:r>
          </w:p>
        </w:tc>
        <w:tc>
          <w:tcPr>
            <w:tcW w:w="850"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b/>
                <w:color w:val="000000"/>
                <w:sz w:val="21"/>
                <w:szCs w:val="21"/>
              </w:rPr>
            </w:pPr>
            <w:r w:rsidRPr="00370727">
              <w:rPr>
                <w:rFonts w:ascii="Calibri" w:hAnsi="Calibri"/>
                <w:b/>
                <w:color w:val="000000"/>
                <w:sz w:val="21"/>
                <w:szCs w:val="21"/>
              </w:rPr>
              <w:t>23,399</w:t>
            </w:r>
          </w:p>
        </w:tc>
        <w:tc>
          <w:tcPr>
            <w:tcW w:w="85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14,529</w:t>
            </w:r>
          </w:p>
        </w:tc>
        <w:tc>
          <w:tcPr>
            <w:tcW w:w="708" w:type="dxa"/>
            <w:tcBorders>
              <w:top w:val="nil"/>
              <w:left w:val="nil"/>
              <w:bottom w:val="nil"/>
              <w:right w:val="single" w:sz="8" w:space="0" w:color="auto"/>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6,749</w:t>
            </w:r>
          </w:p>
        </w:tc>
      </w:tr>
      <w:tr w:rsidR="00FD4870" w:rsidRPr="00370727" w:rsidTr="00FD4870">
        <w:trPr>
          <w:trHeight w:val="300"/>
        </w:trPr>
        <w:tc>
          <w:tcPr>
            <w:tcW w:w="2283" w:type="dxa"/>
            <w:tcBorders>
              <w:top w:val="nil"/>
              <w:left w:val="single" w:sz="8" w:space="0" w:color="auto"/>
              <w:bottom w:val="nil"/>
              <w:right w:val="nil"/>
            </w:tcBorders>
            <w:shd w:val="clear" w:color="auto" w:fill="auto"/>
            <w:noWrap/>
            <w:vAlign w:val="bottom"/>
            <w:hideMark/>
          </w:tcPr>
          <w:p w:rsidR="00FD4870" w:rsidRPr="00370727" w:rsidRDefault="00FD4870" w:rsidP="002B0CA2">
            <w:pPr>
              <w:rPr>
                <w:rFonts w:ascii="Calibri" w:hAnsi="Calibri"/>
                <w:color w:val="000000"/>
                <w:sz w:val="21"/>
                <w:szCs w:val="21"/>
              </w:rPr>
            </w:pPr>
            <w:r w:rsidRPr="00370727">
              <w:rPr>
                <w:rFonts w:ascii="Calibri" w:hAnsi="Calibri"/>
                <w:color w:val="000000"/>
                <w:sz w:val="21"/>
                <w:szCs w:val="21"/>
              </w:rPr>
              <w:t>Divisional operating profit</w:t>
            </w:r>
          </w:p>
        </w:tc>
        <w:tc>
          <w:tcPr>
            <w:tcW w:w="85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b/>
                <w:color w:val="000000"/>
                <w:sz w:val="21"/>
                <w:szCs w:val="21"/>
              </w:rPr>
            </w:pPr>
            <w:r w:rsidRPr="00370727">
              <w:rPr>
                <w:rFonts w:ascii="Calibri" w:hAnsi="Calibri"/>
                <w:b/>
                <w:color w:val="000000"/>
                <w:sz w:val="21"/>
                <w:szCs w:val="21"/>
              </w:rPr>
              <w:t>2,006</w:t>
            </w:r>
          </w:p>
        </w:tc>
        <w:tc>
          <w:tcPr>
            <w:tcW w:w="80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1,888</w:t>
            </w:r>
          </w:p>
        </w:tc>
        <w:tc>
          <w:tcPr>
            <w:tcW w:w="801" w:type="dxa"/>
            <w:tcBorders>
              <w:top w:val="nil"/>
              <w:left w:val="nil"/>
              <w:bottom w:val="nil"/>
              <w:right w:val="single" w:sz="8" w:space="0" w:color="auto"/>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1,230</w:t>
            </w:r>
          </w:p>
        </w:tc>
        <w:tc>
          <w:tcPr>
            <w:tcW w:w="241" w:type="dxa"/>
            <w:tcBorders>
              <w:top w:val="nil"/>
              <w:left w:val="single" w:sz="8" w:space="0" w:color="auto"/>
              <w:bottom w:val="nil"/>
              <w:right w:val="single" w:sz="8" w:space="0" w:color="auto"/>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2268" w:type="dxa"/>
            <w:tcBorders>
              <w:top w:val="nil"/>
              <w:left w:val="single" w:sz="8" w:space="0" w:color="auto"/>
              <w:bottom w:val="nil"/>
              <w:right w:val="nil"/>
            </w:tcBorders>
            <w:shd w:val="clear" w:color="auto" w:fill="auto"/>
            <w:noWrap/>
            <w:vAlign w:val="bottom"/>
            <w:hideMark/>
          </w:tcPr>
          <w:p w:rsidR="00FD4870" w:rsidRPr="00370727" w:rsidRDefault="00FD4870" w:rsidP="002B0CA2">
            <w:pPr>
              <w:rPr>
                <w:rFonts w:ascii="Calibri" w:hAnsi="Calibri"/>
                <w:color w:val="000000"/>
                <w:sz w:val="21"/>
                <w:szCs w:val="21"/>
              </w:rPr>
            </w:pPr>
            <w:r w:rsidRPr="00370727">
              <w:rPr>
                <w:rFonts w:ascii="Calibri" w:hAnsi="Calibri"/>
                <w:color w:val="000000"/>
                <w:sz w:val="21"/>
                <w:szCs w:val="21"/>
              </w:rPr>
              <w:t>Divisional operating profit</w:t>
            </w:r>
          </w:p>
        </w:tc>
        <w:tc>
          <w:tcPr>
            <w:tcW w:w="850"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b/>
                <w:color w:val="000000"/>
                <w:sz w:val="21"/>
                <w:szCs w:val="21"/>
              </w:rPr>
            </w:pPr>
            <w:r w:rsidRPr="00370727">
              <w:rPr>
                <w:rFonts w:ascii="Calibri" w:hAnsi="Calibri"/>
                <w:b/>
                <w:color w:val="000000"/>
                <w:sz w:val="21"/>
                <w:szCs w:val="21"/>
              </w:rPr>
              <w:t>2,681</w:t>
            </w:r>
          </w:p>
        </w:tc>
        <w:tc>
          <w:tcPr>
            <w:tcW w:w="85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1,857</w:t>
            </w:r>
          </w:p>
        </w:tc>
        <w:tc>
          <w:tcPr>
            <w:tcW w:w="708" w:type="dxa"/>
            <w:tcBorders>
              <w:top w:val="nil"/>
              <w:left w:val="nil"/>
              <w:bottom w:val="nil"/>
              <w:right w:val="single" w:sz="8" w:space="0" w:color="auto"/>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271</w:t>
            </w:r>
          </w:p>
        </w:tc>
      </w:tr>
      <w:tr w:rsidR="00FD4870" w:rsidRPr="00370727" w:rsidTr="007F03AD">
        <w:trPr>
          <w:trHeight w:val="92"/>
        </w:trPr>
        <w:tc>
          <w:tcPr>
            <w:tcW w:w="2283" w:type="dxa"/>
            <w:tcBorders>
              <w:top w:val="nil"/>
              <w:left w:val="single" w:sz="8" w:space="0" w:color="auto"/>
              <w:bottom w:val="nil"/>
              <w:right w:val="nil"/>
            </w:tcBorders>
            <w:shd w:val="clear" w:color="auto" w:fill="auto"/>
            <w:noWrap/>
            <w:vAlign w:val="bottom"/>
            <w:hideMark/>
          </w:tcPr>
          <w:p w:rsidR="00FD4870" w:rsidRPr="00370727" w:rsidRDefault="00FD4870" w:rsidP="002B0CA2">
            <w:pPr>
              <w:rPr>
                <w:rFonts w:ascii="Calibri" w:hAnsi="Calibri"/>
                <w:color w:val="000000"/>
                <w:sz w:val="21"/>
                <w:szCs w:val="21"/>
              </w:rPr>
            </w:pPr>
            <w:r w:rsidRPr="00370727">
              <w:rPr>
                <w:rFonts w:ascii="Calibri" w:hAnsi="Calibri"/>
                <w:color w:val="000000"/>
                <w:sz w:val="21"/>
                <w:szCs w:val="21"/>
              </w:rPr>
              <w:t>Operating profit margin</w:t>
            </w:r>
          </w:p>
        </w:tc>
        <w:tc>
          <w:tcPr>
            <w:tcW w:w="85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b/>
                <w:color w:val="000000"/>
                <w:sz w:val="21"/>
                <w:szCs w:val="21"/>
              </w:rPr>
            </w:pPr>
            <w:r w:rsidRPr="00370727">
              <w:rPr>
                <w:rFonts w:ascii="Calibri" w:hAnsi="Calibri"/>
                <w:b/>
                <w:color w:val="000000"/>
                <w:sz w:val="21"/>
                <w:szCs w:val="21"/>
              </w:rPr>
              <w:t>5.4%</w:t>
            </w:r>
          </w:p>
        </w:tc>
        <w:tc>
          <w:tcPr>
            <w:tcW w:w="80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5.0%</w:t>
            </w:r>
          </w:p>
        </w:tc>
        <w:tc>
          <w:tcPr>
            <w:tcW w:w="801" w:type="dxa"/>
            <w:tcBorders>
              <w:top w:val="nil"/>
              <w:left w:val="nil"/>
              <w:bottom w:val="nil"/>
              <w:right w:val="single" w:sz="8" w:space="0" w:color="auto"/>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3.5%</w:t>
            </w:r>
          </w:p>
        </w:tc>
        <w:tc>
          <w:tcPr>
            <w:tcW w:w="241" w:type="dxa"/>
            <w:tcBorders>
              <w:top w:val="nil"/>
              <w:left w:val="single" w:sz="8" w:space="0" w:color="auto"/>
              <w:bottom w:val="nil"/>
              <w:right w:val="single" w:sz="8" w:space="0" w:color="auto"/>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2268" w:type="dxa"/>
            <w:tcBorders>
              <w:top w:val="nil"/>
              <w:left w:val="single" w:sz="8" w:space="0" w:color="auto"/>
              <w:bottom w:val="nil"/>
              <w:right w:val="nil"/>
            </w:tcBorders>
            <w:shd w:val="clear" w:color="auto" w:fill="auto"/>
            <w:noWrap/>
            <w:vAlign w:val="bottom"/>
            <w:hideMark/>
          </w:tcPr>
          <w:p w:rsidR="00FD4870" w:rsidRPr="00370727" w:rsidRDefault="00FD4870" w:rsidP="002B0CA2">
            <w:pPr>
              <w:rPr>
                <w:rFonts w:ascii="Calibri" w:hAnsi="Calibri"/>
                <w:color w:val="000000"/>
                <w:sz w:val="21"/>
                <w:szCs w:val="21"/>
              </w:rPr>
            </w:pPr>
            <w:r w:rsidRPr="00370727">
              <w:rPr>
                <w:rFonts w:ascii="Calibri" w:hAnsi="Calibri"/>
                <w:color w:val="000000"/>
                <w:sz w:val="21"/>
                <w:szCs w:val="21"/>
              </w:rPr>
              <w:t>Operating profit margin</w:t>
            </w:r>
          </w:p>
        </w:tc>
        <w:tc>
          <w:tcPr>
            <w:tcW w:w="850"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b/>
                <w:color w:val="000000"/>
                <w:sz w:val="21"/>
                <w:szCs w:val="21"/>
              </w:rPr>
            </w:pPr>
            <w:r w:rsidRPr="00370727">
              <w:rPr>
                <w:rFonts w:ascii="Calibri" w:hAnsi="Calibri"/>
                <w:b/>
                <w:color w:val="000000"/>
                <w:sz w:val="21"/>
                <w:szCs w:val="21"/>
              </w:rPr>
              <w:t>11.5%</w:t>
            </w:r>
          </w:p>
        </w:tc>
        <w:tc>
          <w:tcPr>
            <w:tcW w:w="851" w:type="dxa"/>
            <w:tcBorders>
              <w:top w:val="nil"/>
              <w:left w:val="nil"/>
              <w:bottom w:val="nil"/>
              <w:right w:val="nil"/>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12.8%</w:t>
            </w:r>
          </w:p>
        </w:tc>
        <w:tc>
          <w:tcPr>
            <w:tcW w:w="708" w:type="dxa"/>
            <w:tcBorders>
              <w:top w:val="nil"/>
              <w:left w:val="nil"/>
              <w:bottom w:val="nil"/>
              <w:right w:val="single" w:sz="8" w:space="0" w:color="auto"/>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4.0%</w:t>
            </w:r>
          </w:p>
        </w:tc>
      </w:tr>
      <w:tr w:rsidR="00FD4870" w:rsidRPr="00370727" w:rsidTr="007F03AD">
        <w:trPr>
          <w:trHeight w:val="124"/>
        </w:trPr>
        <w:tc>
          <w:tcPr>
            <w:tcW w:w="2283" w:type="dxa"/>
            <w:tcBorders>
              <w:top w:val="nil"/>
              <w:left w:val="single" w:sz="8" w:space="0" w:color="auto"/>
              <w:bottom w:val="single" w:sz="8" w:space="0" w:color="auto"/>
              <w:right w:val="nil"/>
            </w:tcBorders>
            <w:shd w:val="clear" w:color="auto" w:fill="auto"/>
            <w:noWrap/>
            <w:vAlign w:val="bottom"/>
            <w:hideMark/>
          </w:tcPr>
          <w:p w:rsidR="00FD4870" w:rsidRPr="00370727" w:rsidRDefault="00FD4870" w:rsidP="002B0CA2">
            <w:pPr>
              <w:rPr>
                <w:rFonts w:ascii="Calibri" w:hAnsi="Calibri"/>
                <w:color w:val="000000"/>
                <w:sz w:val="21"/>
                <w:szCs w:val="21"/>
              </w:rPr>
            </w:pPr>
            <w:r w:rsidRPr="00370727">
              <w:rPr>
                <w:rFonts w:ascii="Calibri" w:hAnsi="Calibri"/>
                <w:color w:val="000000"/>
                <w:sz w:val="21"/>
                <w:szCs w:val="21"/>
              </w:rPr>
              <w:t>Employee numbers</w:t>
            </w:r>
          </w:p>
        </w:tc>
        <w:tc>
          <w:tcPr>
            <w:tcW w:w="851" w:type="dxa"/>
            <w:tcBorders>
              <w:top w:val="nil"/>
              <w:left w:val="nil"/>
              <w:bottom w:val="single" w:sz="8" w:space="0" w:color="auto"/>
              <w:right w:val="nil"/>
            </w:tcBorders>
            <w:shd w:val="clear" w:color="auto" w:fill="auto"/>
            <w:noWrap/>
            <w:vAlign w:val="bottom"/>
          </w:tcPr>
          <w:p w:rsidR="00FD4870" w:rsidRPr="00370727" w:rsidRDefault="00FD4870" w:rsidP="00C142C7">
            <w:pPr>
              <w:jc w:val="right"/>
              <w:rPr>
                <w:rFonts w:ascii="Calibri" w:hAnsi="Calibri"/>
                <w:b/>
                <w:color w:val="000000"/>
                <w:sz w:val="21"/>
                <w:szCs w:val="21"/>
              </w:rPr>
            </w:pPr>
            <w:r>
              <w:rPr>
                <w:rFonts w:ascii="Calibri" w:hAnsi="Calibri"/>
                <w:b/>
                <w:color w:val="000000"/>
                <w:sz w:val="21"/>
                <w:szCs w:val="21"/>
              </w:rPr>
              <w:t>22</w:t>
            </w:r>
            <w:r w:rsidR="00C142C7">
              <w:rPr>
                <w:rFonts w:ascii="Calibri" w:hAnsi="Calibri"/>
                <w:b/>
                <w:color w:val="000000"/>
                <w:sz w:val="21"/>
                <w:szCs w:val="21"/>
              </w:rPr>
              <w:t>8</w:t>
            </w:r>
          </w:p>
        </w:tc>
        <w:tc>
          <w:tcPr>
            <w:tcW w:w="801" w:type="dxa"/>
            <w:tcBorders>
              <w:top w:val="nil"/>
              <w:left w:val="nil"/>
              <w:bottom w:val="single" w:sz="8" w:space="0" w:color="auto"/>
              <w:right w:val="nil"/>
            </w:tcBorders>
            <w:shd w:val="clear" w:color="auto" w:fill="auto"/>
            <w:noWrap/>
            <w:vAlign w:val="bottom"/>
          </w:tcPr>
          <w:p w:rsidR="00FD4870" w:rsidRPr="00370727" w:rsidRDefault="00FD4870" w:rsidP="00C142C7">
            <w:pPr>
              <w:jc w:val="right"/>
              <w:rPr>
                <w:rFonts w:ascii="Calibri" w:hAnsi="Calibri"/>
                <w:color w:val="000000"/>
                <w:sz w:val="21"/>
                <w:szCs w:val="21"/>
              </w:rPr>
            </w:pPr>
            <w:r w:rsidRPr="00370727">
              <w:rPr>
                <w:rFonts w:ascii="Calibri" w:hAnsi="Calibri"/>
                <w:color w:val="000000"/>
                <w:sz w:val="21"/>
                <w:szCs w:val="21"/>
              </w:rPr>
              <w:t>22</w:t>
            </w:r>
            <w:r w:rsidR="00C142C7">
              <w:rPr>
                <w:rFonts w:ascii="Calibri" w:hAnsi="Calibri"/>
                <w:color w:val="000000"/>
                <w:sz w:val="21"/>
                <w:szCs w:val="21"/>
              </w:rPr>
              <w:t>8</w:t>
            </w:r>
          </w:p>
        </w:tc>
        <w:tc>
          <w:tcPr>
            <w:tcW w:w="801" w:type="dxa"/>
            <w:tcBorders>
              <w:top w:val="nil"/>
              <w:left w:val="nil"/>
              <w:bottom w:val="single" w:sz="8" w:space="0" w:color="auto"/>
              <w:right w:val="single" w:sz="8" w:space="0" w:color="auto"/>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232</w:t>
            </w:r>
          </w:p>
        </w:tc>
        <w:tc>
          <w:tcPr>
            <w:tcW w:w="241" w:type="dxa"/>
            <w:tcBorders>
              <w:top w:val="nil"/>
              <w:left w:val="single" w:sz="8" w:space="0" w:color="auto"/>
              <w:bottom w:val="nil"/>
              <w:right w:val="single" w:sz="8" w:space="0" w:color="auto"/>
            </w:tcBorders>
            <w:shd w:val="clear" w:color="auto" w:fill="auto"/>
            <w:noWrap/>
            <w:vAlign w:val="bottom"/>
            <w:hideMark/>
          </w:tcPr>
          <w:p w:rsidR="00FD4870" w:rsidRPr="00370727" w:rsidRDefault="00FD4870" w:rsidP="002B0CA2">
            <w:pPr>
              <w:rPr>
                <w:rFonts w:ascii="Calibri" w:hAnsi="Calibri"/>
                <w:color w:val="000000"/>
                <w:sz w:val="21"/>
                <w:szCs w:val="21"/>
              </w:rPr>
            </w:pPr>
          </w:p>
        </w:tc>
        <w:tc>
          <w:tcPr>
            <w:tcW w:w="2268" w:type="dxa"/>
            <w:tcBorders>
              <w:top w:val="nil"/>
              <w:left w:val="single" w:sz="8" w:space="0" w:color="auto"/>
              <w:bottom w:val="single" w:sz="8" w:space="0" w:color="auto"/>
              <w:right w:val="nil"/>
            </w:tcBorders>
            <w:shd w:val="clear" w:color="auto" w:fill="auto"/>
            <w:noWrap/>
            <w:vAlign w:val="bottom"/>
            <w:hideMark/>
          </w:tcPr>
          <w:p w:rsidR="00FD4870" w:rsidRPr="00370727" w:rsidRDefault="00FD4870" w:rsidP="002B0CA2">
            <w:pPr>
              <w:rPr>
                <w:rFonts w:ascii="Calibri" w:hAnsi="Calibri"/>
                <w:color w:val="000000"/>
                <w:sz w:val="21"/>
                <w:szCs w:val="21"/>
              </w:rPr>
            </w:pPr>
            <w:r w:rsidRPr="00370727">
              <w:rPr>
                <w:rFonts w:ascii="Calibri" w:hAnsi="Calibri"/>
                <w:color w:val="000000"/>
                <w:sz w:val="21"/>
                <w:szCs w:val="21"/>
              </w:rPr>
              <w:t>Employee numbers</w:t>
            </w:r>
          </w:p>
        </w:tc>
        <w:tc>
          <w:tcPr>
            <w:tcW w:w="850" w:type="dxa"/>
            <w:tcBorders>
              <w:top w:val="nil"/>
              <w:left w:val="nil"/>
              <w:bottom w:val="single" w:sz="8" w:space="0" w:color="auto"/>
              <w:right w:val="nil"/>
            </w:tcBorders>
            <w:shd w:val="clear" w:color="auto" w:fill="auto"/>
            <w:noWrap/>
            <w:vAlign w:val="bottom"/>
          </w:tcPr>
          <w:p w:rsidR="00FD4870" w:rsidRPr="00370727" w:rsidRDefault="00FD4870" w:rsidP="00C142C7">
            <w:pPr>
              <w:jc w:val="right"/>
              <w:rPr>
                <w:rFonts w:ascii="Calibri" w:hAnsi="Calibri"/>
                <w:b/>
                <w:color w:val="000000"/>
                <w:sz w:val="21"/>
                <w:szCs w:val="21"/>
              </w:rPr>
            </w:pPr>
            <w:r w:rsidRPr="00370727">
              <w:rPr>
                <w:rFonts w:ascii="Calibri" w:hAnsi="Calibri"/>
                <w:b/>
                <w:color w:val="000000"/>
                <w:sz w:val="21"/>
                <w:szCs w:val="21"/>
              </w:rPr>
              <w:t>5</w:t>
            </w:r>
            <w:r w:rsidR="00C142C7">
              <w:rPr>
                <w:rFonts w:ascii="Calibri" w:hAnsi="Calibri"/>
                <w:b/>
                <w:color w:val="000000"/>
                <w:sz w:val="21"/>
                <w:szCs w:val="21"/>
              </w:rPr>
              <w:t>2</w:t>
            </w:r>
          </w:p>
        </w:tc>
        <w:tc>
          <w:tcPr>
            <w:tcW w:w="851" w:type="dxa"/>
            <w:tcBorders>
              <w:top w:val="nil"/>
              <w:left w:val="nil"/>
              <w:bottom w:val="single" w:sz="8" w:space="0" w:color="auto"/>
              <w:right w:val="nil"/>
            </w:tcBorders>
            <w:shd w:val="clear" w:color="auto" w:fill="auto"/>
            <w:noWrap/>
            <w:vAlign w:val="bottom"/>
          </w:tcPr>
          <w:p w:rsidR="00FD4870" w:rsidRPr="00370727" w:rsidRDefault="00FD4870" w:rsidP="00C142C7">
            <w:pPr>
              <w:jc w:val="right"/>
              <w:rPr>
                <w:rFonts w:ascii="Calibri" w:hAnsi="Calibri"/>
                <w:color w:val="000000"/>
                <w:sz w:val="21"/>
                <w:szCs w:val="21"/>
              </w:rPr>
            </w:pPr>
            <w:r w:rsidRPr="00370727">
              <w:rPr>
                <w:rFonts w:ascii="Calibri" w:hAnsi="Calibri"/>
                <w:color w:val="000000"/>
                <w:sz w:val="21"/>
                <w:szCs w:val="21"/>
              </w:rPr>
              <w:t>5</w:t>
            </w:r>
            <w:r w:rsidR="00C142C7">
              <w:rPr>
                <w:rFonts w:ascii="Calibri" w:hAnsi="Calibri"/>
                <w:color w:val="000000"/>
                <w:sz w:val="21"/>
                <w:szCs w:val="21"/>
              </w:rPr>
              <w:t>2</w:t>
            </w:r>
          </w:p>
        </w:tc>
        <w:tc>
          <w:tcPr>
            <w:tcW w:w="708" w:type="dxa"/>
            <w:tcBorders>
              <w:top w:val="nil"/>
              <w:left w:val="nil"/>
              <w:bottom w:val="single" w:sz="8" w:space="0" w:color="auto"/>
              <w:right w:val="single" w:sz="8" w:space="0" w:color="auto"/>
            </w:tcBorders>
            <w:shd w:val="clear" w:color="auto" w:fill="auto"/>
            <w:noWrap/>
            <w:vAlign w:val="bottom"/>
          </w:tcPr>
          <w:p w:rsidR="00FD4870" w:rsidRPr="00370727" w:rsidRDefault="00FD4870" w:rsidP="002B0CA2">
            <w:pPr>
              <w:jc w:val="right"/>
              <w:rPr>
                <w:rFonts w:ascii="Calibri" w:hAnsi="Calibri"/>
                <w:color w:val="000000"/>
                <w:sz w:val="21"/>
                <w:szCs w:val="21"/>
              </w:rPr>
            </w:pPr>
            <w:r w:rsidRPr="00370727">
              <w:rPr>
                <w:rFonts w:ascii="Calibri" w:hAnsi="Calibri"/>
                <w:color w:val="000000"/>
                <w:sz w:val="21"/>
                <w:szCs w:val="21"/>
              </w:rPr>
              <w:t>60</w:t>
            </w:r>
          </w:p>
        </w:tc>
      </w:tr>
    </w:tbl>
    <w:p w:rsidR="00092BD4" w:rsidRDefault="00092BD4" w:rsidP="00E43AD8">
      <w:pPr>
        <w:autoSpaceDE w:val="0"/>
        <w:autoSpaceDN w:val="0"/>
        <w:adjustRightInd w:val="0"/>
        <w:jc w:val="both"/>
        <w:rPr>
          <w:rFonts w:asciiTheme="minorHAnsi" w:hAnsiTheme="minorHAnsi" w:cs="HelveticaNeueLTStd-Bd"/>
          <w:szCs w:val="24"/>
          <w:lang w:val="en-GB"/>
        </w:rPr>
      </w:pPr>
    </w:p>
    <w:p w:rsidR="005E7B4F" w:rsidRPr="00616D76" w:rsidRDefault="005E7B4F" w:rsidP="00E43AD8">
      <w:pPr>
        <w:autoSpaceDE w:val="0"/>
        <w:autoSpaceDN w:val="0"/>
        <w:adjustRightInd w:val="0"/>
        <w:jc w:val="both"/>
        <w:rPr>
          <w:rFonts w:asciiTheme="minorHAnsi" w:hAnsiTheme="minorHAnsi" w:cs="HelveticaNeueLTStd-Bd"/>
          <w:b/>
          <w:szCs w:val="24"/>
          <w:lang w:val="en-GB"/>
        </w:rPr>
      </w:pPr>
      <w:r w:rsidRPr="00616D76">
        <w:rPr>
          <w:rFonts w:asciiTheme="minorHAnsi" w:hAnsiTheme="minorHAnsi" w:cs="HelveticaNeueLTStd-Bd"/>
          <w:b/>
          <w:szCs w:val="24"/>
          <w:lang w:val="en-GB"/>
        </w:rPr>
        <w:t>Overview</w:t>
      </w:r>
    </w:p>
    <w:p w:rsidR="005E7B4F" w:rsidRDefault="005E7B4F"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szCs w:val="24"/>
          <w:lang w:val="en-GB"/>
        </w:rPr>
        <w:t xml:space="preserve">The operating profit margin in the </w:t>
      </w:r>
      <w:proofErr w:type="spellStart"/>
      <w:r w:rsidRPr="005E7B4F">
        <w:rPr>
          <w:rFonts w:asciiTheme="minorHAnsi" w:hAnsiTheme="minorHAnsi" w:cs="HelveticaNeueLTStd-Lt"/>
          <w:szCs w:val="24"/>
          <w:lang w:val="en-GB"/>
        </w:rPr>
        <w:t>Shipbroking</w:t>
      </w:r>
      <w:proofErr w:type="spellEnd"/>
      <w:r w:rsidRPr="005E7B4F">
        <w:rPr>
          <w:rFonts w:asciiTheme="minorHAnsi" w:hAnsiTheme="minorHAnsi" w:cs="HelveticaNeueLTStd-Lt"/>
          <w:szCs w:val="24"/>
          <w:lang w:val="en-GB"/>
        </w:rPr>
        <w:t xml:space="preserve"> division has</w:t>
      </w:r>
      <w:r w:rsidR="00616D76">
        <w:rPr>
          <w:rFonts w:asciiTheme="minorHAnsi" w:hAnsiTheme="minorHAnsi" w:cs="HelveticaNeueLTStd-Lt"/>
          <w:szCs w:val="24"/>
          <w:lang w:val="en-GB"/>
        </w:rPr>
        <w:t xml:space="preserve"> </w:t>
      </w:r>
      <w:r w:rsidRPr="005E7B4F">
        <w:rPr>
          <w:rFonts w:asciiTheme="minorHAnsi" w:hAnsiTheme="minorHAnsi" w:cs="HelveticaNeueLTStd-Lt"/>
          <w:szCs w:val="24"/>
          <w:lang w:val="en-GB"/>
        </w:rPr>
        <w:t>fallen in the last two years as a result of the</w:t>
      </w:r>
      <w:r w:rsidR="00616D76">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weaker shipping market which has affected </w:t>
      </w:r>
      <w:r w:rsidR="00FD4870">
        <w:rPr>
          <w:rFonts w:asciiTheme="minorHAnsi" w:hAnsiTheme="minorHAnsi" w:cs="HelveticaNeueLTStd-Lt"/>
          <w:szCs w:val="24"/>
          <w:lang w:val="en-GB"/>
        </w:rPr>
        <w:t xml:space="preserve">the </w:t>
      </w:r>
      <w:r w:rsidRPr="005E7B4F">
        <w:rPr>
          <w:rFonts w:asciiTheme="minorHAnsi" w:hAnsiTheme="minorHAnsi" w:cs="HelveticaNeueLTStd-Lt"/>
          <w:szCs w:val="24"/>
          <w:lang w:val="en-GB"/>
        </w:rPr>
        <w:t>ship values</w:t>
      </w:r>
      <w:r w:rsidR="00616D76">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and freight rates on which </w:t>
      </w:r>
      <w:r w:rsidR="004F7288">
        <w:rPr>
          <w:rFonts w:asciiTheme="minorHAnsi" w:hAnsiTheme="minorHAnsi" w:cs="HelveticaNeueLTStd-Lt"/>
          <w:szCs w:val="24"/>
          <w:lang w:val="en-GB"/>
        </w:rPr>
        <w:t>we</w:t>
      </w:r>
      <w:r w:rsidRPr="005E7B4F">
        <w:rPr>
          <w:rFonts w:asciiTheme="minorHAnsi" w:hAnsiTheme="minorHAnsi" w:cs="HelveticaNeueLTStd-Lt"/>
          <w:szCs w:val="24"/>
          <w:lang w:val="en-GB"/>
        </w:rPr>
        <w:t xml:space="preserve"> earn </w:t>
      </w:r>
      <w:r w:rsidR="004F7288">
        <w:rPr>
          <w:rFonts w:asciiTheme="minorHAnsi" w:hAnsiTheme="minorHAnsi" w:cs="HelveticaNeueLTStd-Lt"/>
          <w:szCs w:val="24"/>
          <w:lang w:val="en-GB"/>
        </w:rPr>
        <w:t>our</w:t>
      </w:r>
      <w:r w:rsidRPr="005E7B4F">
        <w:rPr>
          <w:rFonts w:asciiTheme="minorHAnsi" w:hAnsiTheme="minorHAnsi" w:cs="HelveticaNeueLTStd-Lt"/>
          <w:szCs w:val="24"/>
          <w:lang w:val="en-GB"/>
        </w:rPr>
        <w:t xml:space="preserve"> commission.</w:t>
      </w:r>
      <w:r w:rsidR="00616D76">
        <w:rPr>
          <w:rFonts w:asciiTheme="minorHAnsi" w:hAnsiTheme="minorHAnsi" w:cs="HelveticaNeueLTStd-Lt"/>
          <w:szCs w:val="24"/>
          <w:lang w:val="en-GB"/>
        </w:rPr>
        <w:t xml:space="preserve"> </w:t>
      </w:r>
      <w:r w:rsidRPr="005E7B4F">
        <w:rPr>
          <w:rFonts w:asciiTheme="minorHAnsi" w:hAnsiTheme="minorHAnsi" w:cs="HelveticaNeueLTStd-Lt"/>
          <w:szCs w:val="24"/>
          <w:lang w:val="en-GB"/>
        </w:rPr>
        <w:t>However, the profitability in each of the Technical, Logistics and</w:t>
      </w:r>
      <w:r w:rsidR="00616D76">
        <w:rPr>
          <w:rFonts w:asciiTheme="minorHAnsi" w:hAnsiTheme="minorHAnsi" w:cs="HelveticaNeueLTStd-Lt"/>
          <w:szCs w:val="24"/>
          <w:lang w:val="en-GB"/>
        </w:rPr>
        <w:t xml:space="preserve"> </w:t>
      </w:r>
      <w:r w:rsidRPr="005E7B4F">
        <w:rPr>
          <w:rFonts w:asciiTheme="minorHAnsi" w:hAnsiTheme="minorHAnsi" w:cs="HelveticaNeueLTStd-Lt"/>
          <w:szCs w:val="24"/>
          <w:lang w:val="en-GB"/>
        </w:rPr>
        <w:t>Environmental divisions has improved over the same period</w:t>
      </w:r>
      <w:r w:rsidR="00616D76">
        <w:rPr>
          <w:rFonts w:asciiTheme="minorHAnsi" w:hAnsiTheme="minorHAnsi" w:cs="HelveticaNeueLTStd-Lt"/>
          <w:szCs w:val="24"/>
          <w:lang w:val="en-GB"/>
        </w:rPr>
        <w:t xml:space="preserve"> </w:t>
      </w:r>
      <w:r w:rsidRPr="005E7B4F">
        <w:rPr>
          <w:rFonts w:asciiTheme="minorHAnsi" w:hAnsiTheme="minorHAnsi" w:cs="HelveticaNeueLTStd-Lt"/>
          <w:szCs w:val="24"/>
          <w:lang w:val="en-GB"/>
        </w:rPr>
        <w:t>and has helped offset this fall. In 2012/13, these three divisions</w:t>
      </w:r>
      <w:r w:rsidR="00616D76">
        <w:rPr>
          <w:rFonts w:asciiTheme="minorHAnsi" w:hAnsiTheme="minorHAnsi" w:cs="HelveticaNeueLTStd-Lt"/>
          <w:szCs w:val="24"/>
          <w:lang w:val="en-GB"/>
        </w:rPr>
        <w:t xml:space="preserve"> </w:t>
      </w:r>
      <w:r w:rsidRPr="005E7B4F">
        <w:rPr>
          <w:rFonts w:asciiTheme="minorHAnsi" w:hAnsiTheme="minorHAnsi" w:cs="HelveticaNeueLTStd-Lt"/>
          <w:szCs w:val="24"/>
          <w:lang w:val="en-GB"/>
        </w:rPr>
        <w:t>accounted for 60% of the Group’s divisional operating profit</w:t>
      </w:r>
      <w:r w:rsidR="00B96428">
        <w:rPr>
          <w:rFonts w:asciiTheme="minorHAnsi" w:hAnsiTheme="minorHAnsi" w:cs="HelveticaNeueLTStd-Lt"/>
          <w:szCs w:val="24"/>
          <w:lang w:val="en-GB"/>
        </w:rPr>
        <w:t xml:space="preserve"> (2012:</w:t>
      </w:r>
      <w:r w:rsidR="00496A9C">
        <w:rPr>
          <w:rFonts w:asciiTheme="minorHAnsi" w:hAnsiTheme="minorHAnsi" w:cs="HelveticaNeueLTStd-Lt"/>
          <w:szCs w:val="24"/>
          <w:lang w:val="en-GB"/>
        </w:rPr>
        <w:t xml:space="preserve"> </w:t>
      </w:r>
      <w:r w:rsidR="00B96428">
        <w:rPr>
          <w:rFonts w:asciiTheme="minorHAnsi" w:hAnsiTheme="minorHAnsi" w:cs="HelveticaNeueLTStd-Lt"/>
          <w:szCs w:val="24"/>
          <w:lang w:val="en-GB"/>
        </w:rPr>
        <w:t>44%)</w:t>
      </w:r>
      <w:r w:rsidRPr="005E7B4F">
        <w:rPr>
          <w:rFonts w:asciiTheme="minorHAnsi" w:hAnsiTheme="minorHAnsi" w:cs="HelveticaNeueLTStd-Lt"/>
          <w:szCs w:val="24"/>
          <w:lang w:val="en-GB"/>
        </w:rPr>
        <w:t>.</w:t>
      </w:r>
    </w:p>
    <w:p w:rsidR="00616D76" w:rsidRPr="005E7B4F" w:rsidRDefault="00616D76" w:rsidP="00E43AD8">
      <w:pPr>
        <w:autoSpaceDE w:val="0"/>
        <w:autoSpaceDN w:val="0"/>
        <w:adjustRightInd w:val="0"/>
        <w:jc w:val="both"/>
        <w:rPr>
          <w:rFonts w:asciiTheme="minorHAnsi" w:hAnsiTheme="minorHAnsi" w:cs="HelveticaNeueLTStd-Lt"/>
          <w:szCs w:val="24"/>
          <w:lang w:val="en-GB"/>
        </w:rPr>
      </w:pPr>
    </w:p>
    <w:p w:rsidR="005E7B4F" w:rsidRPr="00616D76" w:rsidRDefault="005E7B4F" w:rsidP="00E43AD8">
      <w:pPr>
        <w:autoSpaceDE w:val="0"/>
        <w:autoSpaceDN w:val="0"/>
        <w:adjustRightInd w:val="0"/>
        <w:jc w:val="both"/>
        <w:rPr>
          <w:rFonts w:asciiTheme="minorHAnsi" w:hAnsiTheme="minorHAnsi" w:cs="HelveticaNeueLTStd-Bd"/>
          <w:b/>
          <w:szCs w:val="24"/>
          <w:lang w:val="en-GB"/>
        </w:rPr>
      </w:pPr>
      <w:r w:rsidRPr="00616D76">
        <w:rPr>
          <w:rFonts w:asciiTheme="minorHAnsi" w:hAnsiTheme="minorHAnsi" w:cs="HelveticaNeueLTStd-Bd"/>
          <w:b/>
          <w:szCs w:val="24"/>
          <w:lang w:val="en-GB"/>
        </w:rPr>
        <w:t>Direct and operating costs</w:t>
      </w:r>
    </w:p>
    <w:p w:rsidR="005E7B4F" w:rsidRDefault="005E7B4F" w:rsidP="000055FD">
      <w:pPr>
        <w:autoSpaceDE w:val="0"/>
        <w:autoSpaceDN w:val="0"/>
        <w:adjustRightInd w:val="0"/>
        <w:spacing w:after="120"/>
        <w:jc w:val="both"/>
        <w:rPr>
          <w:rFonts w:asciiTheme="minorHAnsi" w:hAnsiTheme="minorHAnsi" w:cs="HelveticaNeueLTStd-Lt"/>
          <w:szCs w:val="24"/>
          <w:lang w:val="en-GB"/>
        </w:rPr>
      </w:pPr>
      <w:r w:rsidRPr="005E7B4F">
        <w:rPr>
          <w:rFonts w:asciiTheme="minorHAnsi" w:hAnsiTheme="minorHAnsi" w:cs="HelveticaNeueLTStd-Lt"/>
          <w:szCs w:val="24"/>
          <w:lang w:val="en-GB"/>
        </w:rPr>
        <w:t>Cost of Sales increased by 19% in the year</w:t>
      </w:r>
      <w:r w:rsidR="00B96428">
        <w:rPr>
          <w:rFonts w:asciiTheme="minorHAnsi" w:hAnsiTheme="minorHAnsi" w:cs="HelveticaNeueLTStd-Lt"/>
          <w:szCs w:val="24"/>
          <w:lang w:val="en-GB"/>
        </w:rPr>
        <w:t>.</w:t>
      </w:r>
      <w:r w:rsidRPr="005E7B4F">
        <w:rPr>
          <w:rFonts w:asciiTheme="minorHAnsi" w:hAnsiTheme="minorHAnsi" w:cs="HelveticaNeueLTStd-Lt"/>
          <w:szCs w:val="24"/>
          <w:lang w:val="en-GB"/>
        </w:rPr>
        <w:t xml:space="preserve"> </w:t>
      </w:r>
      <w:r w:rsidR="00B96428">
        <w:rPr>
          <w:rFonts w:asciiTheme="minorHAnsi" w:hAnsiTheme="minorHAnsi" w:cs="HelveticaNeueLTStd-Lt"/>
          <w:szCs w:val="24"/>
          <w:lang w:val="en-GB"/>
        </w:rPr>
        <w:t>H</w:t>
      </w:r>
      <w:r w:rsidRPr="005E7B4F">
        <w:rPr>
          <w:rFonts w:asciiTheme="minorHAnsi" w:hAnsiTheme="minorHAnsi" w:cs="HelveticaNeueLTStd-Lt"/>
          <w:szCs w:val="24"/>
          <w:lang w:val="en-GB"/>
        </w:rPr>
        <w:t>owever</w:t>
      </w:r>
      <w:r w:rsidR="00B96428">
        <w:rPr>
          <w:rFonts w:asciiTheme="minorHAnsi" w:hAnsiTheme="minorHAnsi" w:cs="HelveticaNeueLTStd-Lt"/>
          <w:szCs w:val="24"/>
          <w:lang w:val="en-GB"/>
        </w:rPr>
        <w:t>,</w:t>
      </w:r>
      <w:r w:rsidRPr="005E7B4F">
        <w:rPr>
          <w:rFonts w:asciiTheme="minorHAnsi" w:hAnsiTheme="minorHAnsi" w:cs="HelveticaNeueLTStd-Lt"/>
          <w:szCs w:val="24"/>
          <w:lang w:val="en-GB"/>
        </w:rPr>
        <w:t xml:space="preserve"> this</w:t>
      </w:r>
      <w:r w:rsidR="00616D76">
        <w:rPr>
          <w:rFonts w:asciiTheme="minorHAnsi" w:hAnsiTheme="minorHAnsi" w:cs="HelveticaNeueLTStd-Lt"/>
          <w:szCs w:val="24"/>
          <w:lang w:val="en-GB"/>
        </w:rPr>
        <w:t xml:space="preserve"> </w:t>
      </w:r>
      <w:r w:rsidRPr="005E7B4F">
        <w:rPr>
          <w:rFonts w:asciiTheme="minorHAnsi" w:hAnsiTheme="minorHAnsi" w:cs="HelveticaNeueLTStd-Lt"/>
          <w:szCs w:val="24"/>
          <w:lang w:val="en-GB"/>
        </w:rPr>
        <w:t>is attributable to the work carried out by the</w:t>
      </w:r>
      <w:r w:rsidR="00616D76">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Environmental division on the </w:t>
      </w:r>
      <w:r w:rsidRPr="005E7B4F">
        <w:rPr>
          <w:rFonts w:asciiTheme="minorHAnsi" w:hAnsiTheme="minorHAnsi" w:cs="HelveticaNeueLTStd-LtIt"/>
          <w:i/>
          <w:iCs/>
          <w:szCs w:val="24"/>
          <w:lang w:val="en-GB"/>
        </w:rPr>
        <w:t>RENA</w:t>
      </w:r>
      <w:r w:rsidRPr="005E7B4F">
        <w:rPr>
          <w:rFonts w:asciiTheme="minorHAnsi" w:hAnsiTheme="minorHAnsi" w:cs="HelveticaNeueLTStd-Lt"/>
          <w:szCs w:val="24"/>
          <w:lang w:val="en-GB"/>
        </w:rPr>
        <w:t>.</w:t>
      </w:r>
    </w:p>
    <w:p w:rsidR="00105948" w:rsidRDefault="005E7B4F" w:rsidP="000055FD">
      <w:pPr>
        <w:autoSpaceDE w:val="0"/>
        <w:autoSpaceDN w:val="0"/>
        <w:adjustRightInd w:val="0"/>
        <w:spacing w:after="120"/>
        <w:jc w:val="both"/>
        <w:rPr>
          <w:rFonts w:asciiTheme="minorHAnsi" w:hAnsiTheme="minorHAnsi" w:cs="HelveticaNeueLTStd-Lt"/>
          <w:szCs w:val="24"/>
          <w:lang w:val="en-GB"/>
        </w:rPr>
      </w:pPr>
      <w:r w:rsidRPr="005E7B4F">
        <w:rPr>
          <w:rFonts w:asciiTheme="minorHAnsi" w:hAnsiTheme="minorHAnsi" w:cs="HelveticaNeueLTStd-Lt"/>
          <w:szCs w:val="24"/>
          <w:lang w:val="en-GB"/>
        </w:rPr>
        <w:t>Operating costs excluding amortisation of other intangible</w:t>
      </w:r>
      <w:r w:rsidR="00616D76">
        <w:rPr>
          <w:rFonts w:asciiTheme="minorHAnsi" w:hAnsiTheme="minorHAnsi" w:cs="HelveticaNeueLTStd-Lt"/>
          <w:szCs w:val="24"/>
          <w:lang w:val="en-GB"/>
        </w:rPr>
        <w:t xml:space="preserve"> </w:t>
      </w:r>
      <w:r w:rsidRPr="005E7B4F">
        <w:rPr>
          <w:rFonts w:asciiTheme="minorHAnsi" w:hAnsiTheme="minorHAnsi" w:cs="HelveticaNeueLTStd-Lt"/>
          <w:szCs w:val="24"/>
          <w:lang w:val="en-GB"/>
        </w:rPr>
        <w:t>assets in 2012/13 have increased by £3.6 million compared</w:t>
      </w:r>
      <w:r w:rsidR="00616D76">
        <w:rPr>
          <w:rFonts w:asciiTheme="minorHAnsi" w:hAnsiTheme="minorHAnsi" w:cs="HelveticaNeueLTStd-Lt"/>
          <w:szCs w:val="24"/>
          <w:lang w:val="en-GB"/>
        </w:rPr>
        <w:t xml:space="preserve"> </w:t>
      </w:r>
      <w:r w:rsidR="00B96428">
        <w:rPr>
          <w:rFonts w:asciiTheme="minorHAnsi" w:hAnsiTheme="minorHAnsi" w:cs="HelveticaNeueLTStd-Lt"/>
          <w:szCs w:val="24"/>
          <w:lang w:val="en-GB"/>
        </w:rPr>
        <w:t>with</w:t>
      </w:r>
      <w:r w:rsidRPr="005E7B4F">
        <w:rPr>
          <w:rFonts w:asciiTheme="minorHAnsi" w:hAnsiTheme="minorHAnsi" w:cs="HelveticaNeueLTStd-Lt"/>
          <w:szCs w:val="24"/>
          <w:lang w:val="en-GB"/>
        </w:rPr>
        <w:t xml:space="preserve"> last year. The majority of this increase has arisen in the</w:t>
      </w:r>
      <w:r w:rsidR="00616D76">
        <w:rPr>
          <w:rFonts w:asciiTheme="minorHAnsi" w:hAnsiTheme="minorHAnsi" w:cs="HelveticaNeueLTStd-Lt"/>
          <w:szCs w:val="24"/>
          <w:lang w:val="en-GB"/>
        </w:rPr>
        <w:t xml:space="preserve"> </w:t>
      </w:r>
      <w:r w:rsidRPr="005E7B4F">
        <w:rPr>
          <w:rFonts w:asciiTheme="minorHAnsi" w:hAnsiTheme="minorHAnsi" w:cs="HelveticaNeueLTStd-Lt"/>
          <w:szCs w:val="24"/>
          <w:lang w:val="en-GB"/>
        </w:rPr>
        <w:t>Technical division which includes a full year’s costs in relation</w:t>
      </w:r>
      <w:r w:rsidR="00616D76">
        <w:rPr>
          <w:rFonts w:asciiTheme="minorHAnsi" w:hAnsiTheme="minorHAnsi" w:cs="HelveticaNeueLTStd-Lt"/>
          <w:szCs w:val="24"/>
          <w:lang w:val="en-GB"/>
        </w:rPr>
        <w:t xml:space="preserve"> </w:t>
      </w:r>
      <w:r w:rsidRPr="005E7B4F">
        <w:rPr>
          <w:rFonts w:asciiTheme="minorHAnsi" w:hAnsiTheme="minorHAnsi" w:cs="HelveticaNeueLTStd-Lt"/>
          <w:szCs w:val="24"/>
          <w:lang w:val="en-GB"/>
        </w:rPr>
        <w:t>to Braemar Salvage Association (acquired in May 2011) and</w:t>
      </w:r>
      <w:r w:rsidR="00616D76">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Braemar Casbarian (acquired in July 2011). </w:t>
      </w:r>
      <w:r w:rsidR="004F7288">
        <w:rPr>
          <w:rFonts w:asciiTheme="minorHAnsi" w:hAnsiTheme="minorHAnsi" w:cs="HelveticaNeueLTStd-Lt"/>
          <w:szCs w:val="24"/>
          <w:lang w:val="en-GB"/>
        </w:rPr>
        <w:t>We have</w:t>
      </w:r>
      <w:r w:rsidR="00616D76">
        <w:rPr>
          <w:rFonts w:asciiTheme="minorHAnsi" w:hAnsiTheme="minorHAnsi" w:cs="HelveticaNeueLTStd-Lt"/>
          <w:szCs w:val="24"/>
          <w:lang w:val="en-GB"/>
        </w:rPr>
        <w:t xml:space="preserve"> </w:t>
      </w:r>
      <w:r w:rsidRPr="005E7B4F">
        <w:rPr>
          <w:rFonts w:asciiTheme="minorHAnsi" w:hAnsiTheme="minorHAnsi" w:cs="HelveticaNeueLTStd-Lt"/>
          <w:szCs w:val="24"/>
          <w:lang w:val="en-GB"/>
        </w:rPr>
        <w:t>carefully balanced controlling operating costs in the year with</w:t>
      </w:r>
      <w:r w:rsidR="00616D76">
        <w:rPr>
          <w:rFonts w:asciiTheme="minorHAnsi" w:hAnsiTheme="minorHAnsi" w:cs="HelveticaNeueLTStd-Lt"/>
          <w:szCs w:val="24"/>
          <w:lang w:val="en-GB"/>
        </w:rPr>
        <w:t xml:space="preserve"> </w:t>
      </w:r>
      <w:r w:rsidRPr="005E7B4F">
        <w:rPr>
          <w:rFonts w:asciiTheme="minorHAnsi" w:hAnsiTheme="minorHAnsi" w:cs="HelveticaNeueLTStd-Lt"/>
          <w:szCs w:val="24"/>
          <w:lang w:val="en-GB"/>
        </w:rPr>
        <w:t>the necessary cost of investing in high quality staff.</w:t>
      </w:r>
    </w:p>
    <w:p w:rsidR="005E7B4F" w:rsidRPr="005E7B4F" w:rsidRDefault="005E7B4F"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szCs w:val="24"/>
          <w:lang w:val="en-GB"/>
        </w:rPr>
        <w:t>A significant</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proportion of</w:t>
      </w:r>
      <w:r w:rsidR="00643CDC">
        <w:rPr>
          <w:rFonts w:asciiTheme="minorHAnsi" w:hAnsiTheme="minorHAnsi" w:cs="HelveticaNeueLTStd-Lt"/>
          <w:szCs w:val="24"/>
          <w:lang w:val="en-GB"/>
        </w:rPr>
        <w:t xml:space="preserve"> the rise in</w:t>
      </w:r>
      <w:r w:rsidRPr="005E7B4F">
        <w:rPr>
          <w:rFonts w:asciiTheme="minorHAnsi" w:hAnsiTheme="minorHAnsi" w:cs="HelveticaNeueLTStd-Lt"/>
          <w:szCs w:val="24"/>
          <w:lang w:val="en-GB"/>
        </w:rPr>
        <w:t xml:space="preserve"> unallocated costs reflects the </w:t>
      </w:r>
      <w:r w:rsidR="00643CDC">
        <w:rPr>
          <w:rFonts w:asciiTheme="minorHAnsi" w:hAnsiTheme="minorHAnsi" w:cs="HelveticaNeueLTStd-Lt"/>
          <w:szCs w:val="24"/>
          <w:lang w:val="en-GB"/>
        </w:rPr>
        <w:t>board and management changes</w:t>
      </w:r>
      <w:r w:rsidR="00F70E02">
        <w:rPr>
          <w:rFonts w:asciiTheme="minorHAnsi" w:hAnsiTheme="minorHAnsi" w:cs="HelveticaNeueLTStd-Lt"/>
          <w:szCs w:val="24"/>
          <w:lang w:val="en-GB"/>
        </w:rPr>
        <w:t xml:space="preserve"> </w:t>
      </w:r>
      <w:r w:rsidR="00121C81">
        <w:rPr>
          <w:rFonts w:asciiTheme="minorHAnsi" w:hAnsiTheme="minorHAnsi" w:cs="HelveticaNeueLTStd-Lt"/>
          <w:szCs w:val="24"/>
          <w:lang w:val="en-GB"/>
        </w:rPr>
        <w:t xml:space="preserve">during the year </w:t>
      </w:r>
      <w:r w:rsidR="00F70E02">
        <w:rPr>
          <w:rFonts w:asciiTheme="minorHAnsi" w:hAnsiTheme="minorHAnsi" w:cs="HelveticaNeueLTStd-Lt"/>
          <w:szCs w:val="24"/>
          <w:lang w:val="en-GB"/>
        </w:rPr>
        <w:t>and</w:t>
      </w:r>
      <w:r w:rsidR="00643CDC">
        <w:rPr>
          <w:rFonts w:asciiTheme="minorHAnsi" w:hAnsiTheme="minorHAnsi" w:cs="HelveticaNeueLTStd-Lt"/>
          <w:szCs w:val="24"/>
          <w:lang w:val="en-GB"/>
        </w:rPr>
        <w:t xml:space="preserve"> </w:t>
      </w:r>
      <w:r w:rsidR="00121C81">
        <w:rPr>
          <w:rFonts w:asciiTheme="minorHAnsi" w:hAnsiTheme="minorHAnsi" w:cs="HelveticaNeueLTStd-Lt"/>
          <w:szCs w:val="24"/>
          <w:lang w:val="en-GB"/>
        </w:rPr>
        <w:t xml:space="preserve">these </w:t>
      </w:r>
      <w:r w:rsidR="00643CDC">
        <w:rPr>
          <w:rFonts w:asciiTheme="minorHAnsi" w:hAnsiTheme="minorHAnsi" w:cs="HelveticaNeueLTStd-Lt"/>
          <w:szCs w:val="24"/>
          <w:lang w:val="en-GB"/>
        </w:rPr>
        <w:t>will reduce in 2013/14.</w:t>
      </w:r>
    </w:p>
    <w:p w:rsidR="00E43AD8" w:rsidRDefault="00E43AD8" w:rsidP="00E43AD8">
      <w:pPr>
        <w:autoSpaceDE w:val="0"/>
        <w:autoSpaceDN w:val="0"/>
        <w:adjustRightInd w:val="0"/>
        <w:jc w:val="both"/>
        <w:rPr>
          <w:rFonts w:asciiTheme="minorHAnsi" w:hAnsiTheme="minorHAnsi" w:cs="HelveticaNeueLTStd-Bd"/>
          <w:szCs w:val="24"/>
          <w:lang w:val="en-GB"/>
        </w:rPr>
      </w:pPr>
    </w:p>
    <w:p w:rsidR="005E7B4F" w:rsidRPr="00E43AD8" w:rsidRDefault="005E7B4F" w:rsidP="00E43AD8">
      <w:pPr>
        <w:autoSpaceDE w:val="0"/>
        <w:autoSpaceDN w:val="0"/>
        <w:adjustRightInd w:val="0"/>
        <w:jc w:val="both"/>
        <w:rPr>
          <w:rFonts w:asciiTheme="minorHAnsi" w:hAnsiTheme="minorHAnsi" w:cs="HelveticaNeueLTStd-Bd"/>
          <w:b/>
          <w:szCs w:val="24"/>
          <w:lang w:val="en-GB"/>
        </w:rPr>
      </w:pPr>
      <w:r w:rsidRPr="00E43AD8">
        <w:rPr>
          <w:rFonts w:asciiTheme="minorHAnsi" w:hAnsiTheme="minorHAnsi" w:cs="HelveticaNeueLTStd-Bd"/>
          <w:b/>
          <w:szCs w:val="24"/>
          <w:lang w:val="en-GB"/>
        </w:rPr>
        <w:t>Balance sheet</w:t>
      </w:r>
    </w:p>
    <w:p w:rsidR="00DE0EC6" w:rsidRPr="005E7B4F" w:rsidRDefault="005E7B4F" w:rsidP="000055FD">
      <w:pPr>
        <w:autoSpaceDE w:val="0"/>
        <w:autoSpaceDN w:val="0"/>
        <w:adjustRightInd w:val="0"/>
        <w:spacing w:after="120"/>
        <w:jc w:val="both"/>
        <w:rPr>
          <w:rFonts w:asciiTheme="minorHAnsi" w:hAnsiTheme="minorHAnsi" w:cs="Arial"/>
          <w:b/>
          <w:bCs/>
          <w:szCs w:val="24"/>
          <w:lang w:val="en-GB"/>
        </w:rPr>
      </w:pPr>
      <w:r w:rsidRPr="005E7B4F">
        <w:rPr>
          <w:rFonts w:asciiTheme="minorHAnsi" w:hAnsiTheme="minorHAnsi" w:cs="HelveticaNeueLTStd-Lt"/>
          <w:szCs w:val="24"/>
          <w:lang w:val="en-GB"/>
        </w:rPr>
        <w:t>Net assets at 28 February 2013 were £69.</w:t>
      </w:r>
      <w:r w:rsidR="00FD4870">
        <w:rPr>
          <w:rFonts w:asciiTheme="minorHAnsi" w:hAnsiTheme="minorHAnsi" w:cs="HelveticaNeueLTStd-Lt"/>
          <w:szCs w:val="24"/>
          <w:lang w:val="en-GB"/>
        </w:rPr>
        <w:t>8</w:t>
      </w:r>
      <w:r w:rsidRPr="005E7B4F">
        <w:rPr>
          <w:rFonts w:asciiTheme="minorHAnsi" w:hAnsiTheme="minorHAnsi" w:cs="HelveticaNeueLTStd-Lt"/>
          <w:szCs w:val="24"/>
          <w:lang w:val="en-GB"/>
        </w:rPr>
        <w:t xml:space="preserve"> million</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(2012: £66.8 million). There has been an improvement in the</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composition of the balance sheet </w:t>
      </w:r>
      <w:r w:rsidR="00643CDC">
        <w:rPr>
          <w:rFonts w:asciiTheme="minorHAnsi" w:hAnsiTheme="minorHAnsi" w:cs="HelveticaNeueLTStd-Lt"/>
          <w:szCs w:val="24"/>
          <w:lang w:val="en-GB"/>
        </w:rPr>
        <w:t>as a result of</w:t>
      </w:r>
      <w:r w:rsidRPr="005E7B4F">
        <w:rPr>
          <w:rFonts w:asciiTheme="minorHAnsi" w:hAnsiTheme="minorHAnsi" w:cs="HelveticaNeueLTStd-Lt"/>
          <w:szCs w:val="24"/>
          <w:lang w:val="en-GB"/>
        </w:rPr>
        <w:t xml:space="preserve"> trade receivables</w:t>
      </w:r>
      <w:r w:rsidR="00E43AD8">
        <w:rPr>
          <w:rFonts w:asciiTheme="minorHAnsi" w:hAnsiTheme="minorHAnsi" w:cs="HelveticaNeueLTStd-Lt"/>
          <w:szCs w:val="24"/>
          <w:lang w:val="en-GB"/>
        </w:rPr>
        <w:t xml:space="preserve"> </w:t>
      </w:r>
      <w:r w:rsidR="00643CDC">
        <w:rPr>
          <w:rFonts w:asciiTheme="minorHAnsi" w:hAnsiTheme="minorHAnsi" w:cs="HelveticaNeueLTStd-Lt"/>
          <w:szCs w:val="24"/>
          <w:lang w:val="en-GB"/>
        </w:rPr>
        <w:t xml:space="preserve">being </w:t>
      </w:r>
      <w:r w:rsidR="00643CDC">
        <w:rPr>
          <w:rFonts w:asciiTheme="minorHAnsi" w:hAnsiTheme="minorHAnsi" w:cs="HelveticaNeueLTStd-Lt"/>
          <w:szCs w:val="24"/>
          <w:lang w:val="en-GB"/>
        </w:rPr>
        <w:lastRenderedPageBreak/>
        <w:t>converted into</w:t>
      </w:r>
      <w:r w:rsidRPr="005E7B4F">
        <w:rPr>
          <w:rFonts w:asciiTheme="minorHAnsi" w:hAnsiTheme="minorHAnsi" w:cs="HelveticaNeueLTStd-Lt"/>
          <w:szCs w:val="24"/>
          <w:lang w:val="en-GB"/>
        </w:rPr>
        <w:t xml:space="preserve"> </w:t>
      </w:r>
      <w:r w:rsidR="00643CDC">
        <w:rPr>
          <w:rFonts w:asciiTheme="minorHAnsi" w:hAnsiTheme="minorHAnsi" w:cs="HelveticaNeueLTStd-Lt"/>
          <w:szCs w:val="24"/>
          <w:lang w:val="en-GB"/>
        </w:rPr>
        <w:t>cash</w:t>
      </w:r>
      <w:r w:rsidR="00B96428">
        <w:rPr>
          <w:rFonts w:asciiTheme="minorHAnsi" w:hAnsiTheme="minorHAnsi" w:cs="HelveticaNeueLTStd-Lt"/>
          <w:szCs w:val="24"/>
          <w:lang w:val="en-GB"/>
        </w:rPr>
        <w:t>.</w:t>
      </w:r>
      <w:r w:rsidRPr="005E7B4F">
        <w:rPr>
          <w:rFonts w:asciiTheme="minorHAnsi" w:hAnsiTheme="minorHAnsi" w:cs="HelveticaNeueLTStd-Lt"/>
          <w:szCs w:val="24"/>
          <w:lang w:val="en-GB"/>
        </w:rPr>
        <w:t xml:space="preserve"> </w:t>
      </w:r>
      <w:r w:rsidR="00B96428">
        <w:rPr>
          <w:rFonts w:asciiTheme="minorHAnsi" w:hAnsiTheme="minorHAnsi" w:cs="HelveticaNeueLTStd-Lt"/>
          <w:szCs w:val="24"/>
          <w:lang w:val="en-GB"/>
        </w:rPr>
        <w:t>S</w:t>
      </w:r>
      <w:r w:rsidRPr="005E7B4F">
        <w:rPr>
          <w:rFonts w:asciiTheme="minorHAnsi" w:hAnsiTheme="minorHAnsi" w:cs="HelveticaNeueLTStd-Lt"/>
          <w:szCs w:val="24"/>
          <w:lang w:val="en-GB"/>
        </w:rPr>
        <w:t>ome of this positive effect</w:t>
      </w:r>
      <w:r w:rsidR="00B96428">
        <w:rPr>
          <w:rFonts w:asciiTheme="minorHAnsi" w:hAnsiTheme="minorHAnsi" w:cs="HelveticaNeueLTStd-Lt"/>
          <w:szCs w:val="24"/>
          <w:lang w:val="en-GB"/>
        </w:rPr>
        <w:t xml:space="preserve"> is as a resul</w:t>
      </w:r>
      <w:r w:rsidR="001F4CDB">
        <w:rPr>
          <w:rFonts w:asciiTheme="minorHAnsi" w:hAnsiTheme="minorHAnsi" w:cs="HelveticaNeueLTStd-Lt"/>
          <w:szCs w:val="24"/>
          <w:lang w:val="en-GB"/>
        </w:rPr>
        <w:t>t</w:t>
      </w:r>
      <w:r w:rsidRPr="005E7B4F">
        <w:rPr>
          <w:rFonts w:asciiTheme="minorHAnsi" w:hAnsiTheme="minorHAnsi" w:cs="HelveticaNeueLTStd-Lt"/>
          <w:szCs w:val="24"/>
          <w:lang w:val="en-GB"/>
        </w:rPr>
        <w:t xml:space="preserve"> of</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collecting approximately £2.2 million of debtors</w:t>
      </w:r>
      <w:r w:rsidR="001F4CDB">
        <w:rPr>
          <w:rFonts w:asciiTheme="minorHAnsi" w:hAnsiTheme="minorHAnsi" w:cs="HelveticaNeueLTStd-Lt"/>
          <w:szCs w:val="24"/>
          <w:lang w:val="en-GB"/>
        </w:rPr>
        <w:t>,</w:t>
      </w:r>
      <w:r w:rsidRPr="005E7B4F">
        <w:rPr>
          <w:rFonts w:asciiTheme="minorHAnsi" w:hAnsiTheme="minorHAnsi" w:cs="HelveticaNeueLTStd-Lt"/>
          <w:szCs w:val="24"/>
          <w:lang w:val="en-GB"/>
        </w:rPr>
        <w:t xml:space="preserve"> which existed</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at the end of last year when work on the </w:t>
      </w:r>
      <w:r w:rsidRPr="005E7B4F">
        <w:rPr>
          <w:rFonts w:asciiTheme="minorHAnsi" w:hAnsiTheme="minorHAnsi" w:cs="HelveticaNeueLTStd-LtIt"/>
          <w:i/>
          <w:iCs/>
          <w:szCs w:val="24"/>
          <w:lang w:val="en-GB"/>
        </w:rPr>
        <w:t xml:space="preserve">RENA </w:t>
      </w:r>
      <w:r w:rsidRPr="005E7B4F">
        <w:rPr>
          <w:rFonts w:asciiTheme="minorHAnsi" w:hAnsiTheme="minorHAnsi" w:cs="HelveticaNeueLTStd-Lt"/>
          <w:szCs w:val="24"/>
          <w:lang w:val="en-GB"/>
        </w:rPr>
        <w:t>was in full flow.</w:t>
      </w:r>
      <w:r w:rsidR="00E43AD8">
        <w:rPr>
          <w:rFonts w:asciiTheme="minorHAnsi" w:hAnsiTheme="minorHAnsi" w:cs="HelveticaNeueLTStd-Lt"/>
          <w:szCs w:val="24"/>
          <w:lang w:val="en-GB"/>
        </w:rPr>
        <w:t xml:space="preserve"> </w:t>
      </w:r>
      <w:r w:rsidR="001F4CDB">
        <w:rPr>
          <w:rFonts w:asciiTheme="minorHAnsi" w:hAnsiTheme="minorHAnsi" w:cs="HelveticaNeueLTStd-Lt"/>
          <w:szCs w:val="24"/>
          <w:lang w:val="en-GB"/>
        </w:rPr>
        <w:t>N</w:t>
      </w:r>
      <w:r w:rsidRPr="005E7B4F">
        <w:rPr>
          <w:rFonts w:asciiTheme="minorHAnsi" w:hAnsiTheme="minorHAnsi" w:cs="HelveticaNeueLTStd-Lt"/>
          <w:szCs w:val="24"/>
          <w:lang w:val="en-GB"/>
        </w:rPr>
        <w:t>et working capital has reduced from £10.0 million</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at 29 February 2012 to £</w:t>
      </w:r>
      <w:r w:rsidR="00FD4870">
        <w:rPr>
          <w:rFonts w:asciiTheme="minorHAnsi" w:hAnsiTheme="minorHAnsi" w:cs="HelveticaNeueLTStd-Lt"/>
          <w:szCs w:val="24"/>
          <w:lang w:val="en-GB"/>
        </w:rPr>
        <w:t>8.4</w:t>
      </w:r>
      <w:r w:rsidRPr="005E7B4F">
        <w:rPr>
          <w:rFonts w:asciiTheme="minorHAnsi" w:hAnsiTheme="minorHAnsi" w:cs="HelveticaNeueLTStd-Lt"/>
          <w:szCs w:val="24"/>
          <w:lang w:val="en-GB"/>
        </w:rPr>
        <w:t xml:space="preserve"> million at 28 February 2013</w:t>
      </w:r>
      <w:r w:rsidR="00E43AD8">
        <w:rPr>
          <w:rFonts w:asciiTheme="minorHAnsi" w:hAnsiTheme="minorHAnsi" w:cs="HelveticaNeueLTStd-Lt"/>
          <w:szCs w:val="24"/>
          <w:lang w:val="en-GB"/>
        </w:rPr>
        <w:t>.</w:t>
      </w:r>
    </w:p>
    <w:p w:rsidR="005E7B4F" w:rsidRPr="005E7B4F" w:rsidRDefault="005E7B4F"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szCs w:val="24"/>
          <w:lang w:val="en-GB"/>
        </w:rPr>
        <w:t>The value of intangible assets arising from acquisitions in</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previous years has now reduced to less than £1.0 million as</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these assets have been amortised over their estimated useful</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life. </w:t>
      </w:r>
      <w:r w:rsidR="00643CDC">
        <w:rPr>
          <w:rFonts w:asciiTheme="minorHAnsi" w:hAnsiTheme="minorHAnsi" w:cs="HelveticaNeueLTStd-Lt"/>
          <w:szCs w:val="24"/>
          <w:lang w:val="en-GB"/>
        </w:rPr>
        <w:t>As a result t</w:t>
      </w:r>
      <w:r w:rsidRPr="005E7B4F">
        <w:rPr>
          <w:rFonts w:asciiTheme="minorHAnsi" w:hAnsiTheme="minorHAnsi" w:cs="HelveticaNeueLTStd-Lt"/>
          <w:szCs w:val="24"/>
          <w:lang w:val="en-GB"/>
        </w:rPr>
        <w:t>he</w:t>
      </w:r>
      <w:r w:rsidR="00643CDC">
        <w:rPr>
          <w:rFonts w:asciiTheme="minorHAnsi" w:hAnsiTheme="minorHAnsi" w:cs="HelveticaNeueLTStd-Lt"/>
          <w:szCs w:val="24"/>
          <w:lang w:val="en-GB"/>
        </w:rPr>
        <w:t xml:space="preserve"> amortisation charge in respect of these assets will reduce by approximately £1.0 million in 2013/14.</w:t>
      </w:r>
    </w:p>
    <w:p w:rsidR="00E43AD8" w:rsidRDefault="00E43AD8" w:rsidP="00E43AD8">
      <w:pPr>
        <w:autoSpaceDE w:val="0"/>
        <w:autoSpaceDN w:val="0"/>
        <w:adjustRightInd w:val="0"/>
        <w:jc w:val="both"/>
        <w:rPr>
          <w:rFonts w:asciiTheme="minorHAnsi" w:hAnsiTheme="minorHAnsi" w:cs="HelveticaNeueLTStd-Bd"/>
          <w:szCs w:val="24"/>
          <w:lang w:val="en-GB"/>
        </w:rPr>
      </w:pPr>
    </w:p>
    <w:p w:rsidR="005E7B4F" w:rsidRPr="00E43AD8" w:rsidRDefault="005E7B4F" w:rsidP="00E43AD8">
      <w:pPr>
        <w:autoSpaceDE w:val="0"/>
        <w:autoSpaceDN w:val="0"/>
        <w:adjustRightInd w:val="0"/>
        <w:jc w:val="both"/>
        <w:rPr>
          <w:rFonts w:asciiTheme="minorHAnsi" w:hAnsiTheme="minorHAnsi" w:cs="HelveticaNeueLTStd-Bd"/>
          <w:b/>
          <w:szCs w:val="24"/>
          <w:lang w:val="en-GB"/>
        </w:rPr>
      </w:pPr>
      <w:r w:rsidRPr="00E43AD8">
        <w:rPr>
          <w:rFonts w:asciiTheme="minorHAnsi" w:hAnsiTheme="minorHAnsi" w:cs="HelveticaNeueLTStd-Bd"/>
          <w:b/>
          <w:szCs w:val="24"/>
          <w:lang w:val="en-GB"/>
        </w:rPr>
        <w:t>Cash flow and Treasury management</w:t>
      </w:r>
    </w:p>
    <w:p w:rsidR="005E7B4F" w:rsidRDefault="005E7B4F" w:rsidP="000055FD">
      <w:pPr>
        <w:autoSpaceDE w:val="0"/>
        <w:autoSpaceDN w:val="0"/>
        <w:adjustRightInd w:val="0"/>
        <w:spacing w:after="120"/>
        <w:jc w:val="both"/>
        <w:rPr>
          <w:rFonts w:asciiTheme="minorHAnsi" w:hAnsiTheme="minorHAnsi" w:cs="HelveticaNeueLTStd-Lt"/>
          <w:szCs w:val="24"/>
          <w:lang w:val="en-GB"/>
        </w:rPr>
      </w:pPr>
      <w:r w:rsidRPr="005E7B4F">
        <w:rPr>
          <w:rFonts w:asciiTheme="minorHAnsi" w:hAnsiTheme="minorHAnsi" w:cs="HelveticaNeueLTStd-Lt"/>
          <w:szCs w:val="24"/>
          <w:lang w:val="en-GB"/>
        </w:rPr>
        <w:t>The Group continues to be strongly cash</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positive and at</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28 February 2013 had cash of £23.3 million (29 February</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2012: £17.5 million) and no debt. </w:t>
      </w:r>
      <w:r w:rsidR="00121C81">
        <w:rPr>
          <w:rFonts w:asciiTheme="minorHAnsi" w:hAnsiTheme="minorHAnsi" w:cs="HelveticaNeueLTStd-Lt"/>
          <w:szCs w:val="24"/>
          <w:lang w:val="en-GB"/>
        </w:rPr>
        <w:t>We</w:t>
      </w:r>
      <w:r w:rsidRPr="005E7B4F">
        <w:rPr>
          <w:rFonts w:asciiTheme="minorHAnsi" w:hAnsiTheme="minorHAnsi" w:cs="HelveticaNeueLTStd-Lt"/>
          <w:szCs w:val="24"/>
          <w:lang w:val="en-GB"/>
        </w:rPr>
        <w:t xml:space="preserve"> generated</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w:t>
      </w:r>
      <w:r w:rsidR="00121C81">
        <w:rPr>
          <w:rFonts w:asciiTheme="minorHAnsi" w:hAnsiTheme="minorHAnsi" w:cs="HelveticaNeueLTStd-Lt"/>
          <w:szCs w:val="24"/>
          <w:lang w:val="en-GB"/>
        </w:rPr>
        <w:t>15.0</w:t>
      </w:r>
      <w:r w:rsidRPr="005E7B4F">
        <w:rPr>
          <w:rFonts w:asciiTheme="minorHAnsi" w:hAnsiTheme="minorHAnsi" w:cs="HelveticaNeueLTStd-Lt"/>
          <w:szCs w:val="24"/>
          <w:lang w:val="en-GB"/>
        </w:rPr>
        <w:t xml:space="preserve"> million cash from operating activities in the year</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compared to just £</w:t>
      </w:r>
      <w:r w:rsidR="00121C81">
        <w:rPr>
          <w:rFonts w:asciiTheme="minorHAnsi" w:hAnsiTheme="minorHAnsi" w:cs="HelveticaNeueLTStd-Lt"/>
          <w:szCs w:val="24"/>
          <w:lang w:val="en-GB"/>
        </w:rPr>
        <w:t>5.0</w:t>
      </w:r>
      <w:r w:rsidRPr="005E7B4F">
        <w:rPr>
          <w:rFonts w:asciiTheme="minorHAnsi" w:hAnsiTheme="minorHAnsi" w:cs="HelveticaNeueLTStd-Lt"/>
          <w:szCs w:val="24"/>
          <w:lang w:val="en-GB"/>
        </w:rPr>
        <w:t xml:space="preserve"> million last year. </w:t>
      </w:r>
      <w:r w:rsidR="001953B9">
        <w:rPr>
          <w:rFonts w:asciiTheme="minorHAnsi" w:hAnsiTheme="minorHAnsi" w:cs="HelveticaNeueLTStd-Lt"/>
          <w:szCs w:val="24"/>
          <w:lang w:val="en-GB"/>
        </w:rPr>
        <w:t>This</w:t>
      </w:r>
      <w:r w:rsidR="00CC42B6">
        <w:rPr>
          <w:rFonts w:asciiTheme="minorHAnsi" w:hAnsiTheme="minorHAnsi" w:cs="HelveticaNeueLTStd-Lt"/>
          <w:szCs w:val="24"/>
          <w:lang w:val="en-GB"/>
        </w:rPr>
        <w:t xml:space="preserve"> positive impact </w:t>
      </w:r>
      <w:r w:rsidR="001953B9">
        <w:rPr>
          <w:rFonts w:asciiTheme="minorHAnsi" w:hAnsiTheme="minorHAnsi" w:cs="HelveticaNeueLTStd-Lt"/>
          <w:szCs w:val="24"/>
          <w:lang w:val="en-GB"/>
        </w:rPr>
        <w:t xml:space="preserve">has arisen </w:t>
      </w:r>
      <w:r w:rsidR="00CC42B6">
        <w:rPr>
          <w:rFonts w:asciiTheme="minorHAnsi" w:hAnsiTheme="minorHAnsi" w:cs="HelveticaNeueLTStd-Lt"/>
          <w:szCs w:val="24"/>
          <w:lang w:val="en-GB"/>
        </w:rPr>
        <w:t xml:space="preserve">from </w:t>
      </w:r>
      <w:r w:rsidR="00121C81">
        <w:rPr>
          <w:rFonts w:asciiTheme="minorHAnsi" w:hAnsiTheme="minorHAnsi" w:cs="HelveticaNeueLTStd-Lt"/>
          <w:szCs w:val="24"/>
          <w:lang w:val="en-GB"/>
        </w:rPr>
        <w:t>a reduction in</w:t>
      </w:r>
      <w:r w:rsidR="00CC42B6">
        <w:rPr>
          <w:rFonts w:asciiTheme="minorHAnsi" w:hAnsiTheme="minorHAnsi" w:cs="HelveticaNeueLTStd-Lt"/>
          <w:szCs w:val="24"/>
          <w:lang w:val="en-GB"/>
        </w:rPr>
        <w:t xml:space="preserve"> trade debtors</w:t>
      </w:r>
      <w:r w:rsidR="001953B9">
        <w:rPr>
          <w:rFonts w:asciiTheme="minorHAnsi" w:hAnsiTheme="minorHAnsi" w:cs="HelveticaNeueLTStd-Lt"/>
          <w:szCs w:val="24"/>
          <w:lang w:val="en-GB"/>
        </w:rPr>
        <w:t xml:space="preserve"> and </w:t>
      </w:r>
      <w:r w:rsidR="00F70E02">
        <w:rPr>
          <w:rFonts w:asciiTheme="minorHAnsi" w:hAnsiTheme="minorHAnsi" w:cs="HelveticaNeueLTStd-Lt"/>
          <w:szCs w:val="24"/>
          <w:lang w:val="en-GB"/>
        </w:rPr>
        <w:t xml:space="preserve">lower </w:t>
      </w:r>
      <w:r w:rsidR="001953B9">
        <w:rPr>
          <w:rFonts w:asciiTheme="minorHAnsi" w:hAnsiTheme="minorHAnsi" w:cs="HelveticaNeueLTStd-Lt"/>
          <w:szCs w:val="24"/>
          <w:lang w:val="en-GB"/>
        </w:rPr>
        <w:t>bonus</w:t>
      </w:r>
      <w:r w:rsidR="00121C81">
        <w:rPr>
          <w:rFonts w:asciiTheme="minorHAnsi" w:hAnsiTheme="minorHAnsi" w:cs="HelveticaNeueLTStd-Lt"/>
          <w:szCs w:val="24"/>
          <w:lang w:val="en-GB"/>
        </w:rPr>
        <w:t xml:space="preserve"> payments</w:t>
      </w:r>
      <w:r w:rsidRPr="005E7B4F">
        <w:rPr>
          <w:rFonts w:asciiTheme="minorHAnsi" w:hAnsiTheme="minorHAnsi" w:cs="HelveticaNeueLTStd-Lt"/>
          <w:szCs w:val="24"/>
          <w:lang w:val="en-GB"/>
        </w:rPr>
        <w:t>.</w:t>
      </w:r>
    </w:p>
    <w:p w:rsidR="005E7B4F" w:rsidRDefault="005E7B4F"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szCs w:val="24"/>
          <w:lang w:val="en-GB"/>
        </w:rPr>
        <w:t>The increase to the cash balance was generated predominantly</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in the second half of the year. This follows the normal cycle for</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the Group because the cash balance at the start of the year</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will be used </w:t>
      </w:r>
      <w:r w:rsidR="005A2625">
        <w:rPr>
          <w:rFonts w:asciiTheme="minorHAnsi" w:hAnsiTheme="minorHAnsi" w:cs="HelveticaNeueLTStd-Lt"/>
          <w:szCs w:val="24"/>
          <w:lang w:val="en-GB"/>
        </w:rPr>
        <w:t xml:space="preserve">in the first half </w:t>
      </w:r>
      <w:r w:rsidRPr="005E7B4F">
        <w:rPr>
          <w:rFonts w:asciiTheme="minorHAnsi" w:hAnsiTheme="minorHAnsi" w:cs="HelveticaNeueLTStd-Lt"/>
          <w:szCs w:val="24"/>
          <w:lang w:val="en-GB"/>
        </w:rPr>
        <w:t>to pay the final dividend to</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shareholders</w:t>
      </w:r>
      <w:r w:rsidR="001953B9">
        <w:rPr>
          <w:rFonts w:asciiTheme="minorHAnsi" w:hAnsiTheme="minorHAnsi" w:cs="HelveticaNeueLTStd-Lt"/>
          <w:szCs w:val="24"/>
          <w:lang w:val="en-GB"/>
        </w:rPr>
        <w:t>,</w:t>
      </w:r>
      <w:r w:rsidRPr="005E7B4F">
        <w:rPr>
          <w:rFonts w:asciiTheme="minorHAnsi" w:hAnsiTheme="minorHAnsi" w:cs="HelveticaNeueLTStd-Lt"/>
          <w:szCs w:val="24"/>
          <w:lang w:val="en-GB"/>
        </w:rPr>
        <w:t xml:space="preserve"> as well as staff bonuses</w:t>
      </w:r>
      <w:r w:rsidR="001953B9">
        <w:rPr>
          <w:rFonts w:asciiTheme="minorHAnsi" w:hAnsiTheme="minorHAnsi" w:cs="HelveticaNeueLTStd-Lt"/>
          <w:szCs w:val="24"/>
          <w:lang w:val="en-GB"/>
        </w:rPr>
        <w:t xml:space="preserve"> for which </w:t>
      </w:r>
      <w:r w:rsidR="00F70E02">
        <w:rPr>
          <w:rFonts w:asciiTheme="minorHAnsi" w:hAnsiTheme="minorHAnsi" w:cs="HelveticaNeueLTStd-Lt"/>
          <w:szCs w:val="24"/>
          <w:lang w:val="en-GB"/>
        </w:rPr>
        <w:t xml:space="preserve">provision </w:t>
      </w:r>
      <w:r w:rsidR="001953B9">
        <w:rPr>
          <w:rFonts w:asciiTheme="minorHAnsi" w:hAnsiTheme="minorHAnsi" w:cs="HelveticaNeueLTStd-Lt"/>
          <w:szCs w:val="24"/>
          <w:lang w:val="en-GB"/>
        </w:rPr>
        <w:t>has been made in these financial statements</w:t>
      </w:r>
      <w:r w:rsidRPr="005E7B4F">
        <w:rPr>
          <w:rFonts w:asciiTheme="minorHAnsi" w:hAnsiTheme="minorHAnsi" w:cs="HelveticaNeueLTStd-Lt"/>
          <w:szCs w:val="24"/>
          <w:lang w:val="en-GB"/>
        </w:rPr>
        <w:t>. The Group has incurred £1.3 million on capital expenditure</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which includes </w:t>
      </w:r>
      <w:r w:rsidR="001953B9">
        <w:rPr>
          <w:rFonts w:asciiTheme="minorHAnsi" w:hAnsiTheme="minorHAnsi" w:cs="HelveticaNeueLTStd-Lt"/>
          <w:szCs w:val="24"/>
          <w:lang w:val="en-GB"/>
        </w:rPr>
        <w:t xml:space="preserve">£0.6 million </w:t>
      </w:r>
      <w:r w:rsidRPr="005E7B4F">
        <w:rPr>
          <w:rFonts w:asciiTheme="minorHAnsi" w:hAnsiTheme="minorHAnsi" w:cs="HelveticaNeueLTStd-Lt"/>
          <w:szCs w:val="24"/>
          <w:lang w:val="en-GB"/>
        </w:rPr>
        <w:t>investment in the Group’s IT infrastructure.</w:t>
      </w:r>
    </w:p>
    <w:p w:rsidR="00E43AD8" w:rsidRPr="005E7B4F" w:rsidRDefault="00E43AD8" w:rsidP="00E43AD8">
      <w:pPr>
        <w:autoSpaceDE w:val="0"/>
        <w:autoSpaceDN w:val="0"/>
        <w:adjustRightInd w:val="0"/>
        <w:jc w:val="both"/>
        <w:rPr>
          <w:rFonts w:asciiTheme="minorHAnsi" w:hAnsiTheme="minorHAnsi" w:cs="HelveticaNeueLTStd-Lt"/>
          <w:szCs w:val="24"/>
          <w:lang w:val="en-GB"/>
        </w:rPr>
      </w:pPr>
    </w:p>
    <w:p w:rsidR="005E7B4F" w:rsidRPr="00E43AD8" w:rsidRDefault="005E7B4F" w:rsidP="00E43AD8">
      <w:pPr>
        <w:autoSpaceDE w:val="0"/>
        <w:autoSpaceDN w:val="0"/>
        <w:adjustRightInd w:val="0"/>
        <w:jc w:val="both"/>
        <w:rPr>
          <w:rFonts w:asciiTheme="minorHAnsi" w:hAnsiTheme="minorHAnsi" w:cs="HelveticaNeueLTStd-Bd"/>
          <w:b/>
          <w:szCs w:val="24"/>
          <w:lang w:val="en-GB"/>
        </w:rPr>
      </w:pPr>
      <w:r w:rsidRPr="00E43AD8">
        <w:rPr>
          <w:rFonts w:asciiTheme="minorHAnsi" w:hAnsiTheme="minorHAnsi" w:cs="HelveticaNeueLTStd-Bd"/>
          <w:b/>
          <w:szCs w:val="24"/>
          <w:lang w:val="en-GB"/>
        </w:rPr>
        <w:t>Foreign exchange</w:t>
      </w:r>
    </w:p>
    <w:p w:rsidR="005E7B4F" w:rsidRPr="005E7B4F" w:rsidRDefault="005E7B4F" w:rsidP="000055FD">
      <w:pPr>
        <w:autoSpaceDE w:val="0"/>
        <w:autoSpaceDN w:val="0"/>
        <w:adjustRightInd w:val="0"/>
        <w:spacing w:after="120"/>
        <w:jc w:val="both"/>
        <w:rPr>
          <w:rFonts w:asciiTheme="minorHAnsi" w:hAnsiTheme="minorHAnsi" w:cs="HelveticaNeueLTStd-Lt"/>
          <w:szCs w:val="24"/>
          <w:lang w:val="en-GB"/>
        </w:rPr>
      </w:pPr>
      <w:r w:rsidRPr="005E7B4F">
        <w:rPr>
          <w:rFonts w:asciiTheme="minorHAnsi" w:hAnsiTheme="minorHAnsi" w:cs="HelveticaNeueLTStd-Lt"/>
          <w:szCs w:val="24"/>
          <w:lang w:val="en-GB"/>
        </w:rPr>
        <w:t>For most of the year the US dollar exchange rate relative</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to sterling was relatively stable and the average rate of</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exchange for US dollar-denominated </w:t>
      </w:r>
      <w:proofErr w:type="spellStart"/>
      <w:r w:rsidRPr="005E7B4F">
        <w:rPr>
          <w:rFonts w:asciiTheme="minorHAnsi" w:hAnsiTheme="minorHAnsi" w:cs="HelveticaNeueLTStd-Lt"/>
          <w:szCs w:val="24"/>
          <w:lang w:val="en-GB"/>
        </w:rPr>
        <w:t>shipbroking</w:t>
      </w:r>
      <w:proofErr w:type="spellEnd"/>
      <w:r w:rsidRPr="005E7B4F">
        <w:rPr>
          <w:rFonts w:asciiTheme="minorHAnsi" w:hAnsiTheme="minorHAnsi" w:cs="HelveticaNeueLTStd-Lt"/>
          <w:szCs w:val="24"/>
          <w:lang w:val="en-GB"/>
        </w:rPr>
        <w:t xml:space="preserve"> earnings</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was $1.56/£ (2012: $1.60/£). In February 2013 the US dollar</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to sterling exchange rate moved more significantly to finish</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the year at a rate of conversion of $1.52/£ (29 February</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2012: $1.60/£). At 28 February 2013 the Group held forward</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currency contracts to sell US$9.0 million at an average rate</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of $1.54/£.</w:t>
      </w:r>
    </w:p>
    <w:p w:rsidR="005E7B4F" w:rsidRDefault="005E7B4F" w:rsidP="000055FD">
      <w:pPr>
        <w:autoSpaceDE w:val="0"/>
        <w:autoSpaceDN w:val="0"/>
        <w:adjustRightInd w:val="0"/>
        <w:spacing w:after="120"/>
        <w:jc w:val="both"/>
        <w:rPr>
          <w:rFonts w:asciiTheme="minorHAnsi" w:hAnsiTheme="minorHAnsi" w:cs="HelveticaNeueLTStd-Lt"/>
          <w:szCs w:val="24"/>
          <w:lang w:val="en-GB"/>
        </w:rPr>
      </w:pPr>
      <w:r w:rsidRPr="005E7B4F">
        <w:rPr>
          <w:rFonts w:asciiTheme="minorHAnsi" w:hAnsiTheme="minorHAnsi" w:cs="HelveticaNeueLTStd-Lt"/>
          <w:szCs w:val="24"/>
          <w:lang w:val="en-GB"/>
        </w:rPr>
        <w:t>During the year, the Group updated its hedging policy</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to reduce its major currency exposure. The</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Group has forward cover for major currency exposure, based</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on expected receipts from contracted revenue, which</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approximates to 50% of the next nine months of revenue and</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is generally only material for the US Dollar. The new policy will</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also reduce the translation exposure as significant currency</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reserves will be converted back to sterling on a</w:t>
      </w:r>
      <w:r w:rsidR="00FD4870">
        <w:rPr>
          <w:rFonts w:asciiTheme="minorHAnsi" w:hAnsiTheme="minorHAnsi" w:cs="HelveticaNeueLTStd-Lt"/>
          <w:szCs w:val="24"/>
          <w:lang w:val="en-GB"/>
        </w:rPr>
        <w:t xml:space="preserve"> regular</w:t>
      </w:r>
      <w:r w:rsidRPr="005E7B4F">
        <w:rPr>
          <w:rFonts w:asciiTheme="minorHAnsi" w:hAnsiTheme="minorHAnsi" w:cs="HelveticaNeueLTStd-Lt"/>
          <w:szCs w:val="24"/>
          <w:lang w:val="en-GB"/>
        </w:rPr>
        <w:t xml:space="preserve"> basis.</w:t>
      </w:r>
    </w:p>
    <w:p w:rsidR="001F4CDB" w:rsidRPr="005E7B4F" w:rsidRDefault="001953B9" w:rsidP="00E43AD8">
      <w:pPr>
        <w:autoSpaceDE w:val="0"/>
        <w:autoSpaceDN w:val="0"/>
        <w:adjustRightInd w:val="0"/>
        <w:jc w:val="both"/>
        <w:rPr>
          <w:rFonts w:asciiTheme="minorHAnsi" w:hAnsiTheme="minorHAnsi" w:cs="HelveticaNeueLTStd-Lt"/>
          <w:szCs w:val="24"/>
          <w:lang w:val="en-GB"/>
        </w:rPr>
      </w:pPr>
      <w:proofErr w:type="spellStart"/>
      <w:r>
        <w:rPr>
          <w:rFonts w:asciiTheme="minorHAnsi" w:hAnsiTheme="minorHAnsi" w:cs="HelveticaNeueLTStd-Lt"/>
          <w:szCs w:val="24"/>
          <w:lang w:val="en-GB"/>
        </w:rPr>
        <w:t>Shipbroking</w:t>
      </w:r>
      <w:proofErr w:type="spellEnd"/>
      <w:r>
        <w:rPr>
          <w:rFonts w:asciiTheme="minorHAnsi" w:hAnsiTheme="minorHAnsi" w:cs="HelveticaNeueLTStd-Lt"/>
          <w:szCs w:val="24"/>
          <w:lang w:val="en-GB"/>
        </w:rPr>
        <w:t xml:space="preserve"> </w:t>
      </w:r>
      <w:r w:rsidR="001F4CDB">
        <w:rPr>
          <w:rFonts w:asciiTheme="minorHAnsi" w:hAnsiTheme="minorHAnsi" w:cs="HelveticaNeueLTStd-Lt"/>
          <w:szCs w:val="24"/>
          <w:lang w:val="en-GB"/>
        </w:rPr>
        <w:t>revenue</w:t>
      </w:r>
      <w:r w:rsidR="005A2625">
        <w:rPr>
          <w:rFonts w:asciiTheme="minorHAnsi" w:hAnsiTheme="minorHAnsi" w:cs="HelveticaNeueLTStd-Lt"/>
          <w:szCs w:val="24"/>
          <w:lang w:val="en-GB"/>
        </w:rPr>
        <w:t>s</w:t>
      </w:r>
      <w:r w:rsidR="00A514B7">
        <w:rPr>
          <w:rFonts w:asciiTheme="minorHAnsi" w:hAnsiTheme="minorHAnsi" w:cs="HelveticaNeueLTStd-Lt"/>
          <w:szCs w:val="24"/>
          <w:lang w:val="en-GB"/>
        </w:rPr>
        <w:t>,</w:t>
      </w:r>
      <w:r w:rsidR="001F4CDB">
        <w:rPr>
          <w:rFonts w:asciiTheme="minorHAnsi" w:hAnsiTheme="minorHAnsi" w:cs="HelveticaNeueLTStd-Lt"/>
          <w:szCs w:val="24"/>
          <w:lang w:val="en-GB"/>
        </w:rPr>
        <w:t xml:space="preserve"> denominated in US$</w:t>
      </w:r>
      <w:r w:rsidR="00A514B7">
        <w:rPr>
          <w:rFonts w:asciiTheme="minorHAnsi" w:hAnsiTheme="minorHAnsi" w:cs="HelveticaNeueLTStd-Lt"/>
          <w:szCs w:val="24"/>
          <w:lang w:val="en-GB"/>
        </w:rPr>
        <w:t>,</w:t>
      </w:r>
      <w:r w:rsidR="001F4CDB">
        <w:rPr>
          <w:rFonts w:asciiTheme="minorHAnsi" w:hAnsiTheme="minorHAnsi" w:cs="HelveticaNeueLTStd-Lt"/>
          <w:szCs w:val="24"/>
          <w:lang w:val="en-GB"/>
        </w:rPr>
        <w:t xml:space="preserve"> remain exposed to the US$/£ exchange rate in the long term.</w:t>
      </w:r>
    </w:p>
    <w:p w:rsidR="00E43AD8" w:rsidRDefault="00E43AD8" w:rsidP="00E43AD8">
      <w:pPr>
        <w:autoSpaceDE w:val="0"/>
        <w:autoSpaceDN w:val="0"/>
        <w:adjustRightInd w:val="0"/>
        <w:jc w:val="both"/>
        <w:rPr>
          <w:rFonts w:asciiTheme="minorHAnsi" w:hAnsiTheme="minorHAnsi" w:cs="HelveticaNeueLTStd-Bd"/>
          <w:szCs w:val="24"/>
          <w:lang w:val="en-GB"/>
        </w:rPr>
      </w:pPr>
    </w:p>
    <w:p w:rsidR="005E7B4F" w:rsidRPr="00E43AD8" w:rsidRDefault="005E7B4F" w:rsidP="00E43AD8">
      <w:pPr>
        <w:autoSpaceDE w:val="0"/>
        <w:autoSpaceDN w:val="0"/>
        <w:adjustRightInd w:val="0"/>
        <w:jc w:val="both"/>
        <w:rPr>
          <w:rFonts w:asciiTheme="minorHAnsi" w:hAnsiTheme="minorHAnsi" w:cs="HelveticaNeueLTStd-Bd"/>
          <w:b/>
          <w:szCs w:val="24"/>
          <w:lang w:val="en-GB"/>
        </w:rPr>
      </w:pPr>
      <w:r w:rsidRPr="00E43AD8">
        <w:rPr>
          <w:rFonts w:asciiTheme="minorHAnsi" w:hAnsiTheme="minorHAnsi" w:cs="HelveticaNeueLTStd-Bd"/>
          <w:b/>
          <w:szCs w:val="24"/>
          <w:lang w:val="en-GB"/>
        </w:rPr>
        <w:t>Taxation</w:t>
      </w:r>
    </w:p>
    <w:p w:rsidR="005E7B4F" w:rsidRPr="005E7B4F" w:rsidRDefault="005E7B4F"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szCs w:val="24"/>
          <w:lang w:val="en-GB"/>
        </w:rPr>
        <w:t>The Group’s effective tax rate in 2012/13 was 26.3%</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(2012: 29.5%). The rate is higher than the UK standard rate</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of corporation tax of 24% mainly due to disallowed expenses.</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The fall in the effective rate in comparison </w:t>
      </w:r>
      <w:bookmarkStart w:id="0" w:name="_GoBack"/>
      <w:bookmarkEnd w:id="0"/>
      <w:r w:rsidRPr="005E7B4F">
        <w:rPr>
          <w:rFonts w:asciiTheme="minorHAnsi" w:hAnsiTheme="minorHAnsi" w:cs="HelveticaNeueLTStd-Lt"/>
          <w:szCs w:val="24"/>
          <w:lang w:val="en-GB"/>
        </w:rPr>
        <w:t>to last year is a</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 xml:space="preserve">result of the </w:t>
      </w:r>
      <w:r w:rsidR="0053603B">
        <w:rPr>
          <w:rFonts w:asciiTheme="minorHAnsi" w:hAnsiTheme="minorHAnsi" w:cs="HelveticaNeueLTStd-Lt"/>
          <w:szCs w:val="24"/>
          <w:lang w:val="en-GB"/>
        </w:rPr>
        <w:t xml:space="preserve">reduction to the UK standard rate of tax from 26% to 24% and the </w:t>
      </w:r>
      <w:r w:rsidRPr="005E7B4F">
        <w:rPr>
          <w:rFonts w:asciiTheme="minorHAnsi" w:hAnsiTheme="minorHAnsi" w:cs="HelveticaNeueLTStd-Lt"/>
          <w:szCs w:val="24"/>
          <w:lang w:val="en-GB"/>
        </w:rPr>
        <w:t>mix of overseas profits. The further reductions</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from 24% to 23% in 2013/14 together with the two further cuts</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to 20% by April 2015 that were announced on 20 March 2013</w:t>
      </w:r>
      <w:r w:rsidR="00E43AD8">
        <w:rPr>
          <w:rFonts w:asciiTheme="minorHAnsi" w:hAnsiTheme="minorHAnsi" w:cs="HelveticaNeueLTStd-Lt"/>
          <w:szCs w:val="24"/>
          <w:lang w:val="en-GB"/>
        </w:rPr>
        <w:t xml:space="preserve"> </w:t>
      </w:r>
      <w:r w:rsidRPr="005E7B4F">
        <w:rPr>
          <w:rFonts w:asciiTheme="minorHAnsi" w:hAnsiTheme="minorHAnsi" w:cs="HelveticaNeueLTStd-Lt"/>
          <w:szCs w:val="24"/>
          <w:lang w:val="en-GB"/>
        </w:rPr>
        <w:t>are expected to reduce the rate in future years.</w:t>
      </w:r>
    </w:p>
    <w:p w:rsidR="000055FD" w:rsidRDefault="000055FD" w:rsidP="00E43AD8">
      <w:pPr>
        <w:autoSpaceDE w:val="0"/>
        <w:autoSpaceDN w:val="0"/>
        <w:adjustRightInd w:val="0"/>
        <w:jc w:val="both"/>
        <w:rPr>
          <w:rFonts w:asciiTheme="minorHAnsi" w:hAnsiTheme="minorHAnsi" w:cs="HelveticaNeueLTStd-Hv"/>
          <w:szCs w:val="24"/>
          <w:lang w:val="en-GB"/>
        </w:rPr>
      </w:pPr>
    </w:p>
    <w:p w:rsidR="003E579D" w:rsidRDefault="003E579D" w:rsidP="00E43AD8">
      <w:pPr>
        <w:autoSpaceDE w:val="0"/>
        <w:autoSpaceDN w:val="0"/>
        <w:adjustRightInd w:val="0"/>
        <w:jc w:val="both"/>
        <w:rPr>
          <w:rFonts w:asciiTheme="minorHAnsi" w:hAnsiTheme="minorHAnsi" w:cs="HelveticaNeueLTStd-Hv"/>
          <w:szCs w:val="24"/>
          <w:lang w:val="en-GB"/>
        </w:rPr>
      </w:pPr>
    </w:p>
    <w:p w:rsidR="005E7B4F" w:rsidRPr="00E43AD8" w:rsidRDefault="00E43AD8" w:rsidP="00E43AD8">
      <w:pPr>
        <w:autoSpaceDE w:val="0"/>
        <w:autoSpaceDN w:val="0"/>
        <w:adjustRightInd w:val="0"/>
        <w:jc w:val="both"/>
        <w:rPr>
          <w:rFonts w:asciiTheme="minorHAnsi" w:hAnsiTheme="minorHAnsi" w:cs="HelveticaNeueLTStd-Hv"/>
          <w:b/>
          <w:szCs w:val="24"/>
          <w:lang w:val="en-GB"/>
        </w:rPr>
      </w:pPr>
      <w:r>
        <w:rPr>
          <w:rFonts w:asciiTheme="minorHAnsi" w:hAnsiTheme="minorHAnsi" w:cs="HelveticaNeueLTStd-Hv"/>
          <w:b/>
          <w:szCs w:val="24"/>
          <w:lang w:val="en-GB"/>
        </w:rPr>
        <w:t>Martin Beer A</w:t>
      </w:r>
      <w:r w:rsidR="005E7B4F" w:rsidRPr="00E43AD8">
        <w:rPr>
          <w:rFonts w:asciiTheme="minorHAnsi" w:hAnsiTheme="minorHAnsi" w:cs="HelveticaNeueLTStd-Hv"/>
          <w:b/>
          <w:szCs w:val="24"/>
          <w:lang w:val="en-GB"/>
        </w:rPr>
        <w:t>CA</w:t>
      </w:r>
    </w:p>
    <w:p w:rsidR="005E7B4F" w:rsidRPr="005E7B4F" w:rsidRDefault="005E7B4F" w:rsidP="00E43AD8">
      <w:pPr>
        <w:autoSpaceDE w:val="0"/>
        <w:autoSpaceDN w:val="0"/>
        <w:adjustRightInd w:val="0"/>
        <w:jc w:val="both"/>
        <w:rPr>
          <w:rFonts w:asciiTheme="minorHAnsi" w:hAnsiTheme="minorHAnsi" w:cs="HelveticaNeueLTStd-Lt"/>
          <w:szCs w:val="24"/>
          <w:lang w:val="en-GB"/>
        </w:rPr>
      </w:pPr>
      <w:r w:rsidRPr="005E7B4F">
        <w:rPr>
          <w:rFonts w:asciiTheme="minorHAnsi" w:hAnsiTheme="minorHAnsi" w:cs="HelveticaNeueLTStd-Lt"/>
          <w:szCs w:val="24"/>
          <w:lang w:val="en-GB"/>
        </w:rPr>
        <w:t>Group Finance Director</w:t>
      </w:r>
    </w:p>
    <w:p w:rsidR="005E7B4F" w:rsidRPr="005E7B4F" w:rsidRDefault="00FD4870" w:rsidP="00E43AD8">
      <w:pPr>
        <w:pStyle w:val="BodyText"/>
        <w:jc w:val="both"/>
        <w:rPr>
          <w:rFonts w:asciiTheme="minorHAnsi" w:hAnsiTheme="minorHAnsi" w:cs="Arial"/>
          <w:b/>
          <w:bCs/>
          <w:szCs w:val="24"/>
          <w:lang w:val="en-GB"/>
        </w:rPr>
      </w:pPr>
      <w:r>
        <w:rPr>
          <w:rFonts w:asciiTheme="minorHAnsi" w:hAnsiTheme="minorHAnsi" w:cs="HelveticaNeueLTStd-Lt"/>
          <w:szCs w:val="24"/>
          <w:lang w:val="en-GB"/>
        </w:rPr>
        <w:t>13</w:t>
      </w:r>
      <w:r w:rsidR="005E7B4F" w:rsidRPr="005E7B4F">
        <w:rPr>
          <w:rFonts w:asciiTheme="minorHAnsi" w:hAnsiTheme="minorHAnsi" w:cs="HelveticaNeueLTStd-Lt"/>
          <w:szCs w:val="24"/>
          <w:lang w:val="en-GB"/>
        </w:rPr>
        <w:t xml:space="preserve"> May 2013</w:t>
      </w:r>
    </w:p>
    <w:p w:rsidR="000433F6" w:rsidRPr="00D440C9" w:rsidRDefault="004C5801" w:rsidP="00E43AD8">
      <w:pPr>
        <w:pStyle w:val="HTMLPreformatted"/>
        <w:jc w:val="both"/>
        <w:rPr>
          <w:rFonts w:ascii="Arial" w:hAnsi="Arial" w:cs="Arial"/>
          <w:b/>
          <w:bCs/>
        </w:rPr>
      </w:pPr>
      <w:r w:rsidRPr="00D440C9">
        <w:rPr>
          <w:rFonts w:ascii="Arial" w:hAnsi="Arial" w:cs="Arial"/>
          <w:b/>
          <w:bCs/>
        </w:rPr>
        <w:br w:type="page"/>
      </w:r>
      <w:r w:rsidR="000433F6" w:rsidRPr="00D440C9">
        <w:rPr>
          <w:rFonts w:ascii="Arial" w:hAnsi="Arial" w:cs="Arial"/>
          <w:b/>
          <w:bCs/>
        </w:rPr>
        <w:lastRenderedPageBreak/>
        <w:t>Braemar Shipping Services PLC</w:t>
      </w:r>
    </w:p>
    <w:p w:rsidR="000433F6" w:rsidRPr="00D440C9" w:rsidRDefault="00DA05C4">
      <w:pPr>
        <w:pStyle w:val="HTMLPreformatted"/>
        <w:rPr>
          <w:rFonts w:ascii="Arial" w:hAnsi="Arial" w:cs="Arial"/>
          <w:sz w:val="16"/>
        </w:rPr>
      </w:pPr>
      <w:r w:rsidRPr="00DA05C4">
        <w:rPr>
          <w:rFonts w:ascii="Arial" w:hAnsi="Arial" w:cs="Arial"/>
          <w:b/>
          <w:bCs/>
          <w:sz w:val="24"/>
        </w:rPr>
        <w:t>A</w:t>
      </w:r>
      <w:r w:rsidR="000E2703" w:rsidRPr="00DA05C4">
        <w:rPr>
          <w:rFonts w:ascii="Arial" w:hAnsi="Arial" w:cs="Arial"/>
          <w:b/>
          <w:bCs/>
          <w:sz w:val="24"/>
        </w:rPr>
        <w:t xml:space="preserve">udited </w:t>
      </w:r>
      <w:r w:rsidR="000433F6" w:rsidRPr="00DA05C4">
        <w:rPr>
          <w:rFonts w:ascii="Arial" w:hAnsi="Arial" w:cs="Arial"/>
          <w:b/>
          <w:bCs/>
          <w:sz w:val="24"/>
        </w:rPr>
        <w:t>Consolidated Income statement</w:t>
      </w:r>
      <w:r w:rsidR="000433F6" w:rsidRPr="00DA05C4">
        <w:rPr>
          <w:rFonts w:ascii="Arial" w:hAnsi="Arial" w:cs="Arial"/>
          <w:b/>
          <w:bCs/>
        </w:rPr>
        <w:t xml:space="preserve"> </w:t>
      </w:r>
      <w:r w:rsidR="000433F6" w:rsidRPr="00DA05C4">
        <w:rPr>
          <w:rFonts w:ascii="Arial" w:hAnsi="Arial" w:cs="Arial"/>
          <w:sz w:val="16"/>
        </w:rPr>
        <w:t>for the year ended 2</w:t>
      </w:r>
      <w:r w:rsidR="00C95EDA">
        <w:rPr>
          <w:rFonts w:ascii="Arial" w:hAnsi="Arial" w:cs="Arial"/>
          <w:sz w:val="16"/>
        </w:rPr>
        <w:t>8</w:t>
      </w:r>
      <w:r w:rsidR="00341700" w:rsidRPr="00DA05C4">
        <w:rPr>
          <w:rFonts w:ascii="Arial" w:hAnsi="Arial" w:cs="Arial"/>
          <w:sz w:val="16"/>
        </w:rPr>
        <w:t xml:space="preserve"> February 20</w:t>
      </w:r>
      <w:r w:rsidR="00EB71C5" w:rsidRPr="00DA05C4">
        <w:rPr>
          <w:rFonts w:ascii="Arial" w:hAnsi="Arial" w:cs="Arial"/>
          <w:sz w:val="16"/>
        </w:rPr>
        <w:t>1</w:t>
      </w:r>
      <w:r w:rsidR="00C95EDA">
        <w:rPr>
          <w:rFonts w:ascii="Arial" w:hAnsi="Arial" w:cs="Arial"/>
          <w:sz w:val="16"/>
        </w:rPr>
        <w:t>3</w:t>
      </w:r>
    </w:p>
    <w:p w:rsidR="000433F6" w:rsidRPr="00D440C9" w:rsidRDefault="000433F6">
      <w:pPr>
        <w:pStyle w:val="HTMLPreformatted"/>
        <w:rPr>
          <w:rFonts w:ascii="Arial" w:hAnsi="Arial" w:cs="Arial"/>
          <w:b/>
          <w:bCs/>
        </w:rPr>
      </w:pPr>
    </w:p>
    <w:tbl>
      <w:tblPr>
        <w:tblW w:w="9619" w:type="dxa"/>
        <w:tblInd w:w="108" w:type="dxa"/>
        <w:tblLook w:val="04A0" w:firstRow="1" w:lastRow="0" w:firstColumn="1" w:lastColumn="0" w:noHBand="0" w:noVBand="1"/>
      </w:tblPr>
      <w:tblGrid>
        <w:gridCol w:w="4962"/>
        <w:gridCol w:w="687"/>
        <w:gridCol w:w="267"/>
        <w:gridCol w:w="605"/>
        <w:gridCol w:w="283"/>
        <w:gridCol w:w="1418"/>
        <w:gridCol w:w="1397"/>
      </w:tblGrid>
      <w:tr w:rsidR="00991C20" w:rsidRPr="00D440C9" w:rsidTr="00991C20">
        <w:trPr>
          <w:trHeight w:val="225"/>
        </w:trPr>
        <w:tc>
          <w:tcPr>
            <w:tcW w:w="4962" w:type="dxa"/>
            <w:tcBorders>
              <w:top w:val="nil"/>
              <w:left w:val="nil"/>
              <w:bottom w:val="nil"/>
              <w:right w:val="nil"/>
            </w:tcBorders>
            <w:shd w:val="clear" w:color="auto" w:fill="auto"/>
            <w:noWrap/>
            <w:vAlign w:val="bottom"/>
            <w:hideMark/>
          </w:tcPr>
          <w:p w:rsidR="00991C20" w:rsidRPr="00D440C9" w:rsidRDefault="00991C20" w:rsidP="00991C20">
            <w:pPr>
              <w:rPr>
                <w:rFonts w:ascii="Arial" w:hAnsi="Arial" w:cs="Arial"/>
                <w:sz w:val="18"/>
                <w:szCs w:val="18"/>
                <w:lang w:val="en-GB" w:eastAsia="en-GB"/>
              </w:rPr>
            </w:pPr>
          </w:p>
        </w:tc>
        <w:tc>
          <w:tcPr>
            <w:tcW w:w="687" w:type="dxa"/>
            <w:tcBorders>
              <w:top w:val="nil"/>
              <w:left w:val="nil"/>
              <w:bottom w:val="nil"/>
              <w:right w:val="nil"/>
            </w:tcBorders>
            <w:shd w:val="clear" w:color="auto" w:fill="auto"/>
            <w:noWrap/>
            <w:vAlign w:val="bottom"/>
            <w:hideMark/>
          </w:tcPr>
          <w:p w:rsidR="00991C20" w:rsidRPr="00D440C9" w:rsidRDefault="00991C20"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991C20" w:rsidRPr="00D440C9" w:rsidRDefault="00991C20" w:rsidP="00991C20">
            <w:pPr>
              <w:jc w:val="cente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991C20" w:rsidRPr="00D440C9" w:rsidRDefault="00991C20" w:rsidP="00991C20">
            <w:pPr>
              <w:jc w:val="right"/>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991C20" w:rsidRPr="00D440C9" w:rsidRDefault="00991C20" w:rsidP="00991C20">
            <w:pPr>
              <w:jc w:val="cente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991C20" w:rsidRPr="00D440C9" w:rsidRDefault="00991C20" w:rsidP="00C95EDA">
            <w:pPr>
              <w:jc w:val="right"/>
              <w:rPr>
                <w:rFonts w:ascii="Arial" w:hAnsi="Arial" w:cs="Arial"/>
                <w:b/>
                <w:bCs/>
                <w:sz w:val="18"/>
                <w:szCs w:val="18"/>
                <w:lang w:val="en-GB" w:eastAsia="en-GB"/>
              </w:rPr>
            </w:pPr>
            <w:r w:rsidRPr="00D440C9">
              <w:rPr>
                <w:rFonts w:ascii="Arial" w:hAnsi="Arial" w:cs="Arial"/>
                <w:b/>
                <w:bCs/>
                <w:sz w:val="18"/>
                <w:szCs w:val="18"/>
                <w:lang w:val="en-GB" w:eastAsia="en-GB"/>
              </w:rPr>
              <w:t>2</w:t>
            </w:r>
            <w:r w:rsidR="00C95EDA">
              <w:rPr>
                <w:rFonts w:ascii="Arial" w:hAnsi="Arial" w:cs="Arial"/>
                <w:b/>
                <w:bCs/>
                <w:sz w:val="18"/>
                <w:szCs w:val="18"/>
                <w:lang w:val="en-GB" w:eastAsia="en-GB"/>
              </w:rPr>
              <w:t>8</w:t>
            </w:r>
            <w:r w:rsidRPr="00D440C9">
              <w:rPr>
                <w:rFonts w:ascii="Arial" w:hAnsi="Arial" w:cs="Arial"/>
                <w:b/>
                <w:bCs/>
                <w:sz w:val="18"/>
                <w:szCs w:val="18"/>
                <w:lang w:val="en-GB" w:eastAsia="en-GB"/>
              </w:rPr>
              <w:t xml:space="preserve"> Feb 201</w:t>
            </w:r>
            <w:r w:rsidR="00C95EDA">
              <w:rPr>
                <w:rFonts w:ascii="Arial" w:hAnsi="Arial" w:cs="Arial"/>
                <w:b/>
                <w:bCs/>
                <w:sz w:val="18"/>
                <w:szCs w:val="18"/>
                <w:lang w:val="en-GB" w:eastAsia="en-GB"/>
              </w:rPr>
              <w:t>3</w:t>
            </w:r>
          </w:p>
        </w:tc>
        <w:tc>
          <w:tcPr>
            <w:tcW w:w="1397" w:type="dxa"/>
            <w:tcBorders>
              <w:top w:val="nil"/>
              <w:left w:val="nil"/>
              <w:bottom w:val="nil"/>
              <w:right w:val="nil"/>
            </w:tcBorders>
            <w:shd w:val="clear" w:color="auto" w:fill="auto"/>
            <w:noWrap/>
            <w:vAlign w:val="bottom"/>
            <w:hideMark/>
          </w:tcPr>
          <w:p w:rsidR="00991C20" w:rsidRPr="00D440C9" w:rsidRDefault="00991C20" w:rsidP="00C95EDA">
            <w:pPr>
              <w:jc w:val="right"/>
              <w:rPr>
                <w:rFonts w:ascii="Arial" w:hAnsi="Arial" w:cs="Arial"/>
                <w:sz w:val="18"/>
                <w:szCs w:val="18"/>
                <w:lang w:val="en-GB" w:eastAsia="en-GB"/>
              </w:rPr>
            </w:pPr>
            <w:r w:rsidRPr="00D440C9">
              <w:rPr>
                <w:rFonts w:ascii="Arial" w:hAnsi="Arial" w:cs="Arial"/>
                <w:sz w:val="18"/>
                <w:szCs w:val="18"/>
                <w:lang w:val="en-GB" w:eastAsia="en-GB"/>
              </w:rPr>
              <w:t>2</w:t>
            </w:r>
            <w:r w:rsidR="00C95EDA">
              <w:rPr>
                <w:rFonts w:ascii="Arial" w:hAnsi="Arial" w:cs="Arial"/>
                <w:sz w:val="18"/>
                <w:szCs w:val="18"/>
                <w:lang w:val="en-GB" w:eastAsia="en-GB"/>
              </w:rPr>
              <w:t>9</w:t>
            </w:r>
            <w:r w:rsidRPr="00D440C9">
              <w:rPr>
                <w:rFonts w:ascii="Arial" w:hAnsi="Arial" w:cs="Arial"/>
                <w:sz w:val="18"/>
                <w:szCs w:val="18"/>
                <w:lang w:val="en-GB" w:eastAsia="en-GB"/>
              </w:rPr>
              <w:t xml:space="preserve"> Feb 201</w:t>
            </w:r>
            <w:r w:rsidR="00C95EDA">
              <w:rPr>
                <w:rFonts w:ascii="Arial" w:hAnsi="Arial" w:cs="Arial"/>
                <w:sz w:val="18"/>
                <w:szCs w:val="18"/>
                <w:lang w:val="en-GB" w:eastAsia="en-GB"/>
              </w:rPr>
              <w:t>2</w:t>
            </w:r>
          </w:p>
        </w:tc>
      </w:tr>
      <w:tr w:rsidR="00991C20" w:rsidRPr="00D440C9" w:rsidTr="00991C20">
        <w:trPr>
          <w:trHeight w:val="225"/>
        </w:trPr>
        <w:tc>
          <w:tcPr>
            <w:tcW w:w="4962" w:type="dxa"/>
            <w:tcBorders>
              <w:top w:val="nil"/>
              <w:left w:val="nil"/>
              <w:bottom w:val="single" w:sz="8" w:space="0" w:color="auto"/>
              <w:right w:val="nil"/>
            </w:tcBorders>
            <w:shd w:val="clear" w:color="auto" w:fill="auto"/>
            <w:noWrap/>
            <w:vAlign w:val="bottom"/>
            <w:hideMark/>
          </w:tcPr>
          <w:p w:rsidR="00991C20" w:rsidRPr="00D440C9" w:rsidRDefault="00991C20" w:rsidP="00991C20">
            <w:pPr>
              <w:rPr>
                <w:rFonts w:ascii="Arial" w:hAnsi="Arial" w:cs="Arial"/>
                <w:sz w:val="18"/>
                <w:szCs w:val="18"/>
                <w:lang w:val="en-GB" w:eastAsia="en-GB"/>
              </w:rPr>
            </w:pPr>
            <w:r w:rsidRPr="00D440C9">
              <w:rPr>
                <w:rFonts w:ascii="Arial" w:hAnsi="Arial" w:cs="Arial"/>
                <w:sz w:val="18"/>
                <w:szCs w:val="18"/>
                <w:lang w:val="en-GB" w:eastAsia="en-GB"/>
              </w:rPr>
              <w:t>Continuing operations</w:t>
            </w:r>
          </w:p>
        </w:tc>
        <w:tc>
          <w:tcPr>
            <w:tcW w:w="687" w:type="dxa"/>
            <w:tcBorders>
              <w:top w:val="nil"/>
              <w:left w:val="nil"/>
              <w:bottom w:val="single" w:sz="8" w:space="0" w:color="auto"/>
              <w:right w:val="nil"/>
            </w:tcBorders>
            <w:shd w:val="clear" w:color="auto" w:fill="auto"/>
            <w:noWrap/>
            <w:vAlign w:val="bottom"/>
            <w:hideMark/>
          </w:tcPr>
          <w:p w:rsidR="00991C20" w:rsidRPr="00D440C9" w:rsidRDefault="00991C20" w:rsidP="00991C20">
            <w:pPr>
              <w:jc w:val="center"/>
              <w:rPr>
                <w:rFonts w:ascii="Arial" w:hAnsi="Arial" w:cs="Arial"/>
                <w:sz w:val="18"/>
                <w:szCs w:val="18"/>
                <w:lang w:val="en-GB" w:eastAsia="en-GB"/>
              </w:rPr>
            </w:pPr>
            <w:r w:rsidRPr="00D440C9">
              <w:rPr>
                <w:rFonts w:ascii="Arial" w:hAnsi="Arial" w:cs="Arial"/>
                <w:sz w:val="18"/>
                <w:szCs w:val="18"/>
                <w:lang w:val="en-GB" w:eastAsia="en-GB"/>
              </w:rPr>
              <w:t>Notes</w:t>
            </w:r>
          </w:p>
        </w:tc>
        <w:tc>
          <w:tcPr>
            <w:tcW w:w="267" w:type="dxa"/>
            <w:tcBorders>
              <w:top w:val="nil"/>
              <w:left w:val="nil"/>
              <w:bottom w:val="single" w:sz="8" w:space="0" w:color="auto"/>
              <w:right w:val="nil"/>
            </w:tcBorders>
            <w:shd w:val="clear" w:color="auto" w:fill="auto"/>
            <w:noWrap/>
            <w:vAlign w:val="bottom"/>
            <w:hideMark/>
          </w:tcPr>
          <w:p w:rsidR="00991C20" w:rsidRPr="00D440C9" w:rsidRDefault="00991C20" w:rsidP="00991C20">
            <w:pPr>
              <w:jc w:val="center"/>
              <w:rPr>
                <w:rFonts w:ascii="Arial" w:hAnsi="Arial" w:cs="Arial"/>
                <w:sz w:val="18"/>
                <w:szCs w:val="18"/>
                <w:lang w:val="en-GB" w:eastAsia="en-GB"/>
              </w:rPr>
            </w:pPr>
            <w:r w:rsidRPr="00D440C9">
              <w:rPr>
                <w:rFonts w:ascii="Arial" w:hAnsi="Arial" w:cs="Arial"/>
                <w:sz w:val="18"/>
                <w:szCs w:val="18"/>
                <w:lang w:val="en-GB" w:eastAsia="en-GB"/>
              </w:rPr>
              <w:t> </w:t>
            </w:r>
          </w:p>
        </w:tc>
        <w:tc>
          <w:tcPr>
            <w:tcW w:w="605" w:type="dxa"/>
            <w:tcBorders>
              <w:top w:val="nil"/>
              <w:left w:val="nil"/>
              <w:bottom w:val="single" w:sz="8" w:space="0" w:color="auto"/>
              <w:right w:val="nil"/>
            </w:tcBorders>
            <w:shd w:val="clear" w:color="auto" w:fill="auto"/>
            <w:noWrap/>
            <w:vAlign w:val="bottom"/>
            <w:hideMark/>
          </w:tcPr>
          <w:p w:rsidR="00991C20" w:rsidRPr="00D440C9" w:rsidRDefault="00991C20"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283" w:type="dxa"/>
            <w:tcBorders>
              <w:top w:val="nil"/>
              <w:left w:val="nil"/>
              <w:bottom w:val="single" w:sz="8" w:space="0" w:color="auto"/>
              <w:right w:val="nil"/>
            </w:tcBorders>
            <w:shd w:val="clear" w:color="auto" w:fill="auto"/>
            <w:noWrap/>
            <w:vAlign w:val="bottom"/>
            <w:hideMark/>
          </w:tcPr>
          <w:p w:rsidR="00991C20" w:rsidRPr="00D440C9" w:rsidRDefault="00991C20" w:rsidP="00991C20">
            <w:pPr>
              <w:jc w:val="cente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418" w:type="dxa"/>
            <w:tcBorders>
              <w:top w:val="nil"/>
              <w:left w:val="nil"/>
              <w:bottom w:val="single" w:sz="8" w:space="0" w:color="auto"/>
              <w:right w:val="nil"/>
            </w:tcBorders>
            <w:shd w:val="clear" w:color="auto" w:fill="auto"/>
            <w:noWrap/>
            <w:vAlign w:val="bottom"/>
            <w:hideMark/>
          </w:tcPr>
          <w:p w:rsidR="00991C20" w:rsidRPr="00D440C9" w:rsidRDefault="00991C20"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£'000</w:t>
            </w:r>
          </w:p>
        </w:tc>
        <w:tc>
          <w:tcPr>
            <w:tcW w:w="1397" w:type="dxa"/>
            <w:tcBorders>
              <w:top w:val="nil"/>
              <w:left w:val="nil"/>
              <w:bottom w:val="single" w:sz="8" w:space="0" w:color="auto"/>
              <w:right w:val="nil"/>
            </w:tcBorders>
            <w:shd w:val="clear" w:color="auto" w:fill="auto"/>
            <w:noWrap/>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£'000</w:t>
            </w:r>
          </w:p>
        </w:tc>
      </w:tr>
      <w:tr w:rsidR="00991C20" w:rsidRPr="00D440C9" w:rsidTr="00991C20">
        <w:trPr>
          <w:trHeight w:val="240"/>
        </w:trPr>
        <w:tc>
          <w:tcPr>
            <w:tcW w:w="4962" w:type="dxa"/>
            <w:tcBorders>
              <w:top w:val="nil"/>
              <w:left w:val="nil"/>
              <w:bottom w:val="nil"/>
              <w:right w:val="nil"/>
            </w:tcBorders>
            <w:shd w:val="clear" w:color="auto" w:fill="auto"/>
            <w:noWrap/>
            <w:vAlign w:val="bottom"/>
            <w:hideMark/>
          </w:tcPr>
          <w:p w:rsidR="00991C20" w:rsidRPr="00D440C9" w:rsidRDefault="00991C20" w:rsidP="00991C20">
            <w:pPr>
              <w:rPr>
                <w:rFonts w:ascii="Arial" w:hAnsi="Arial" w:cs="Arial"/>
                <w:sz w:val="18"/>
                <w:szCs w:val="18"/>
                <w:lang w:val="en-GB" w:eastAsia="en-GB"/>
              </w:rPr>
            </w:pPr>
          </w:p>
        </w:tc>
        <w:tc>
          <w:tcPr>
            <w:tcW w:w="687" w:type="dxa"/>
            <w:tcBorders>
              <w:top w:val="nil"/>
              <w:left w:val="nil"/>
              <w:bottom w:val="nil"/>
              <w:right w:val="nil"/>
            </w:tcBorders>
            <w:shd w:val="clear" w:color="auto" w:fill="auto"/>
            <w:noWrap/>
            <w:vAlign w:val="bottom"/>
            <w:hideMark/>
          </w:tcPr>
          <w:p w:rsidR="00991C20" w:rsidRPr="00D440C9" w:rsidRDefault="00991C20"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991C20" w:rsidRPr="00D440C9" w:rsidRDefault="00991C2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991C20" w:rsidRPr="00D440C9" w:rsidRDefault="00991C2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991C20" w:rsidRPr="00D440C9" w:rsidRDefault="00991C2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991C20" w:rsidRPr="00D440C9" w:rsidRDefault="00991C20" w:rsidP="00991C20">
            <w:pPr>
              <w:rPr>
                <w:rFonts w:ascii="Arial" w:hAnsi="Arial" w:cs="Arial"/>
                <w:b/>
                <w:bCs/>
                <w:sz w:val="18"/>
                <w:szCs w:val="18"/>
                <w:lang w:val="en-GB" w:eastAsia="en-GB"/>
              </w:rPr>
            </w:pPr>
          </w:p>
        </w:tc>
        <w:tc>
          <w:tcPr>
            <w:tcW w:w="1397" w:type="dxa"/>
            <w:tcBorders>
              <w:top w:val="nil"/>
              <w:left w:val="nil"/>
              <w:bottom w:val="nil"/>
              <w:right w:val="nil"/>
            </w:tcBorders>
            <w:shd w:val="clear" w:color="auto" w:fill="auto"/>
            <w:noWrap/>
            <w:vAlign w:val="bottom"/>
            <w:hideMark/>
          </w:tcPr>
          <w:p w:rsidR="00991C20" w:rsidRPr="00D440C9" w:rsidRDefault="00991C20" w:rsidP="00991C20">
            <w:pPr>
              <w:rPr>
                <w:rFonts w:ascii="Arial" w:hAnsi="Arial" w:cs="Arial"/>
                <w:sz w:val="18"/>
                <w:szCs w:val="18"/>
                <w:lang w:val="en-GB" w:eastAsia="en-GB"/>
              </w:rPr>
            </w:pPr>
          </w:p>
        </w:tc>
      </w:tr>
      <w:tr w:rsidR="00C95EDA" w:rsidRPr="00D440C9" w:rsidTr="00991C20">
        <w:trPr>
          <w:trHeight w:val="240"/>
        </w:trPr>
        <w:tc>
          <w:tcPr>
            <w:tcW w:w="4962"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Revenue</w:t>
            </w:r>
          </w:p>
        </w:tc>
        <w:tc>
          <w:tcPr>
            <w:tcW w:w="687"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r w:rsidRPr="00D440C9">
              <w:rPr>
                <w:rFonts w:ascii="Arial" w:hAnsi="Arial" w:cs="Arial"/>
                <w:sz w:val="18"/>
                <w:szCs w:val="18"/>
                <w:lang w:val="en-GB" w:eastAsia="en-GB"/>
              </w:rPr>
              <w:t>3</w:t>
            </w:r>
          </w:p>
        </w:tc>
        <w:tc>
          <w:tcPr>
            <w:tcW w:w="267"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143,774</w:t>
            </w:r>
          </w:p>
        </w:tc>
        <w:tc>
          <w:tcPr>
            <w:tcW w:w="139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133,474</w:t>
            </w:r>
          </w:p>
        </w:tc>
      </w:tr>
      <w:tr w:rsidR="00C95EDA" w:rsidRPr="00D440C9" w:rsidTr="00991C20">
        <w:trPr>
          <w:trHeight w:val="240"/>
        </w:trPr>
        <w:tc>
          <w:tcPr>
            <w:tcW w:w="4962"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Cost of sales</w:t>
            </w:r>
          </w:p>
        </w:tc>
        <w:tc>
          <w:tcPr>
            <w:tcW w:w="687" w:type="dxa"/>
            <w:tcBorders>
              <w:top w:val="nil"/>
              <w:left w:val="nil"/>
              <w:bottom w:val="single" w:sz="4" w:space="0" w:color="auto"/>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267"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605"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283"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418" w:type="dxa"/>
            <w:tcBorders>
              <w:top w:val="nil"/>
              <w:left w:val="nil"/>
              <w:bottom w:val="single" w:sz="4" w:space="0" w:color="auto"/>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(43,867)</w:t>
            </w:r>
          </w:p>
        </w:tc>
        <w:tc>
          <w:tcPr>
            <w:tcW w:w="1397" w:type="dxa"/>
            <w:tcBorders>
              <w:top w:val="nil"/>
              <w:left w:val="nil"/>
              <w:bottom w:val="single" w:sz="4" w:space="0" w:color="auto"/>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(36,922)</w:t>
            </w:r>
          </w:p>
        </w:tc>
      </w:tr>
      <w:tr w:rsidR="00C95EDA" w:rsidRPr="00D440C9" w:rsidTr="00991C20">
        <w:trPr>
          <w:trHeight w:val="240"/>
        </w:trPr>
        <w:tc>
          <w:tcPr>
            <w:tcW w:w="4962"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687"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99,907</w:t>
            </w:r>
          </w:p>
        </w:tc>
        <w:tc>
          <w:tcPr>
            <w:tcW w:w="139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96,552</w:t>
            </w:r>
          </w:p>
        </w:tc>
      </w:tr>
      <w:tr w:rsidR="00C95EDA" w:rsidRPr="00D440C9" w:rsidTr="00991C20">
        <w:trPr>
          <w:trHeight w:val="240"/>
        </w:trPr>
        <w:tc>
          <w:tcPr>
            <w:tcW w:w="4962"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687"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rPr>
                <w:rFonts w:ascii="Arial" w:hAnsi="Arial" w:cs="Arial"/>
                <w:b/>
                <w:bCs/>
                <w:sz w:val="18"/>
                <w:szCs w:val="18"/>
              </w:rPr>
            </w:pPr>
          </w:p>
        </w:tc>
        <w:tc>
          <w:tcPr>
            <w:tcW w:w="139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p>
        </w:tc>
      </w:tr>
      <w:tr w:rsidR="00C95EDA" w:rsidRPr="00D440C9" w:rsidTr="00242DD1">
        <w:trPr>
          <w:trHeight w:val="240"/>
        </w:trPr>
        <w:tc>
          <w:tcPr>
            <w:tcW w:w="4962"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Operating costs</w:t>
            </w:r>
          </w:p>
        </w:tc>
        <w:tc>
          <w:tcPr>
            <w:tcW w:w="687" w:type="dxa"/>
            <w:tcBorders>
              <w:top w:val="nil"/>
              <w:left w:val="nil"/>
              <w:bottom w:val="single" w:sz="4" w:space="0" w:color="auto"/>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267"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605"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283"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8" w:type="dxa"/>
            <w:tcBorders>
              <w:top w:val="nil"/>
              <w:left w:val="nil"/>
              <w:bottom w:val="single" w:sz="4" w:space="0" w:color="auto"/>
              <w:right w:val="nil"/>
            </w:tcBorders>
            <w:shd w:val="clear" w:color="auto" w:fill="auto"/>
            <w:noWrap/>
            <w:vAlign w:val="bottom"/>
            <w:hideMark/>
          </w:tcPr>
          <w:p w:rsidR="00C95EDA" w:rsidRDefault="00C95EDA" w:rsidP="00C95EDA">
            <w:pPr>
              <w:rPr>
                <w:rFonts w:ascii="Arial" w:hAnsi="Arial" w:cs="Arial"/>
                <w:b/>
                <w:bCs/>
                <w:sz w:val="18"/>
                <w:szCs w:val="18"/>
              </w:rPr>
            </w:pPr>
          </w:p>
        </w:tc>
        <w:tc>
          <w:tcPr>
            <w:tcW w:w="1397" w:type="dxa"/>
            <w:tcBorders>
              <w:top w:val="nil"/>
              <w:left w:val="nil"/>
              <w:bottom w:val="single" w:sz="4" w:space="0" w:color="auto"/>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p>
        </w:tc>
      </w:tr>
      <w:tr w:rsidR="00C95EDA" w:rsidRPr="00D440C9" w:rsidTr="00991C20">
        <w:trPr>
          <w:trHeight w:val="240"/>
        </w:trPr>
        <w:tc>
          <w:tcPr>
            <w:tcW w:w="4962" w:type="dxa"/>
            <w:tcBorders>
              <w:top w:val="single" w:sz="4" w:space="0" w:color="auto"/>
              <w:left w:val="single" w:sz="4" w:space="0" w:color="auto"/>
              <w:bottom w:val="nil"/>
              <w:right w:val="nil"/>
            </w:tcBorders>
            <w:shd w:val="clear" w:color="auto" w:fill="auto"/>
            <w:vAlign w:val="bottom"/>
            <w:hideMark/>
          </w:tcPr>
          <w:p w:rsidR="00C95EDA" w:rsidRPr="00D440C9" w:rsidRDefault="00C95EDA" w:rsidP="00121D06">
            <w:pPr>
              <w:rPr>
                <w:rFonts w:ascii="Arial" w:hAnsi="Arial" w:cs="Arial"/>
                <w:sz w:val="18"/>
                <w:szCs w:val="18"/>
                <w:lang w:val="en-GB" w:eastAsia="en-GB"/>
              </w:rPr>
            </w:pPr>
            <w:r w:rsidRPr="00D440C9">
              <w:rPr>
                <w:rFonts w:ascii="Arial" w:hAnsi="Arial" w:cs="Arial"/>
                <w:sz w:val="18"/>
                <w:szCs w:val="18"/>
                <w:lang w:val="en-GB" w:eastAsia="en-GB"/>
              </w:rPr>
              <w:t>Operating costs excluding amortisation</w:t>
            </w:r>
            <w:r>
              <w:rPr>
                <w:rFonts w:ascii="Arial" w:hAnsi="Arial" w:cs="Arial"/>
                <w:sz w:val="18"/>
                <w:szCs w:val="18"/>
                <w:lang w:val="en-GB" w:eastAsia="en-GB"/>
              </w:rPr>
              <w:t xml:space="preserve"> of other intangibles</w:t>
            </w:r>
          </w:p>
        </w:tc>
        <w:tc>
          <w:tcPr>
            <w:tcW w:w="687" w:type="dxa"/>
            <w:tcBorders>
              <w:top w:val="single" w:sz="4" w:space="0" w:color="auto"/>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267" w:type="dxa"/>
            <w:tcBorders>
              <w:top w:val="single" w:sz="4" w:space="0" w:color="auto"/>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605" w:type="dxa"/>
            <w:tcBorders>
              <w:top w:val="single" w:sz="4" w:space="0" w:color="auto"/>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283" w:type="dxa"/>
            <w:tcBorders>
              <w:top w:val="single" w:sz="4" w:space="0" w:color="auto"/>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418" w:type="dxa"/>
            <w:tcBorders>
              <w:top w:val="single" w:sz="4" w:space="0" w:color="auto"/>
              <w:left w:val="nil"/>
              <w:bottom w:val="nil"/>
              <w:right w:val="nil"/>
            </w:tcBorders>
            <w:shd w:val="clear" w:color="000000"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(89,386)</w:t>
            </w:r>
          </w:p>
        </w:tc>
        <w:tc>
          <w:tcPr>
            <w:tcW w:w="1397" w:type="dxa"/>
            <w:tcBorders>
              <w:top w:val="single" w:sz="4" w:space="0" w:color="auto"/>
              <w:left w:val="nil"/>
              <w:bottom w:val="nil"/>
              <w:right w:val="single" w:sz="4" w:space="0" w:color="auto"/>
            </w:tcBorders>
            <w:shd w:val="clear" w:color="000000"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(85,806)</w:t>
            </w:r>
          </w:p>
        </w:tc>
      </w:tr>
      <w:tr w:rsidR="00C95EDA" w:rsidRPr="00D440C9" w:rsidTr="00242DD1">
        <w:trPr>
          <w:trHeight w:val="240"/>
        </w:trPr>
        <w:tc>
          <w:tcPr>
            <w:tcW w:w="4962" w:type="dxa"/>
            <w:tcBorders>
              <w:left w:val="single" w:sz="4" w:space="0" w:color="auto"/>
              <w:bottom w:val="nil"/>
              <w:right w:val="nil"/>
            </w:tcBorders>
            <w:shd w:val="clear" w:color="auto" w:fill="auto"/>
            <w:vAlign w:val="bottom"/>
          </w:tcPr>
          <w:p w:rsidR="00C95EDA" w:rsidRPr="00D440C9" w:rsidRDefault="00C95EDA" w:rsidP="00991C20">
            <w:pPr>
              <w:rPr>
                <w:rFonts w:ascii="Arial" w:hAnsi="Arial" w:cs="Arial"/>
                <w:sz w:val="18"/>
                <w:szCs w:val="18"/>
                <w:lang w:val="en-GB" w:eastAsia="en-GB"/>
              </w:rPr>
            </w:pPr>
            <w:r>
              <w:rPr>
                <w:rFonts w:ascii="Arial" w:hAnsi="Arial" w:cs="Arial"/>
                <w:sz w:val="18"/>
                <w:szCs w:val="18"/>
                <w:lang w:val="en-GB" w:eastAsia="en-GB"/>
              </w:rPr>
              <w:t>Non-recurring income and expenses</w:t>
            </w:r>
          </w:p>
        </w:tc>
        <w:tc>
          <w:tcPr>
            <w:tcW w:w="687" w:type="dxa"/>
            <w:tcBorders>
              <w:left w:val="nil"/>
              <w:bottom w:val="nil"/>
              <w:right w:val="nil"/>
            </w:tcBorders>
            <w:shd w:val="clear" w:color="auto" w:fill="auto"/>
            <w:noWrap/>
            <w:vAlign w:val="bottom"/>
          </w:tcPr>
          <w:p w:rsidR="00C95EDA" w:rsidRPr="00D440C9" w:rsidRDefault="00C95EDA" w:rsidP="00991C20">
            <w:pPr>
              <w:jc w:val="center"/>
              <w:rPr>
                <w:rFonts w:ascii="Arial" w:hAnsi="Arial" w:cs="Arial"/>
                <w:sz w:val="18"/>
                <w:szCs w:val="18"/>
                <w:lang w:val="en-GB" w:eastAsia="en-GB"/>
              </w:rPr>
            </w:pPr>
            <w:r>
              <w:rPr>
                <w:rFonts w:ascii="Arial" w:hAnsi="Arial" w:cs="Arial"/>
                <w:sz w:val="18"/>
                <w:szCs w:val="18"/>
                <w:lang w:val="en-GB" w:eastAsia="en-GB"/>
              </w:rPr>
              <w:t>4</w:t>
            </w:r>
          </w:p>
        </w:tc>
        <w:tc>
          <w:tcPr>
            <w:tcW w:w="267" w:type="dxa"/>
            <w:tcBorders>
              <w:left w:val="nil"/>
              <w:bottom w:val="nil"/>
              <w:right w:val="nil"/>
            </w:tcBorders>
            <w:shd w:val="clear" w:color="auto" w:fill="auto"/>
            <w:noWrap/>
            <w:vAlign w:val="bottom"/>
          </w:tcPr>
          <w:p w:rsidR="00C95EDA" w:rsidRPr="00D440C9" w:rsidRDefault="00C95EDA" w:rsidP="00991C20">
            <w:pPr>
              <w:rPr>
                <w:rFonts w:ascii="Arial" w:hAnsi="Arial" w:cs="Arial"/>
                <w:sz w:val="18"/>
                <w:szCs w:val="18"/>
                <w:lang w:val="en-GB" w:eastAsia="en-GB"/>
              </w:rPr>
            </w:pPr>
          </w:p>
        </w:tc>
        <w:tc>
          <w:tcPr>
            <w:tcW w:w="605" w:type="dxa"/>
            <w:tcBorders>
              <w:left w:val="nil"/>
              <w:bottom w:val="nil"/>
              <w:right w:val="nil"/>
            </w:tcBorders>
            <w:shd w:val="clear" w:color="auto" w:fill="auto"/>
            <w:noWrap/>
            <w:vAlign w:val="bottom"/>
          </w:tcPr>
          <w:p w:rsidR="00C95EDA" w:rsidRPr="00D440C9" w:rsidRDefault="00C95EDA" w:rsidP="00991C20">
            <w:pPr>
              <w:rPr>
                <w:rFonts w:ascii="Arial" w:hAnsi="Arial" w:cs="Arial"/>
                <w:b/>
                <w:bCs/>
                <w:sz w:val="18"/>
                <w:szCs w:val="18"/>
                <w:lang w:val="en-GB" w:eastAsia="en-GB"/>
              </w:rPr>
            </w:pPr>
          </w:p>
        </w:tc>
        <w:tc>
          <w:tcPr>
            <w:tcW w:w="283" w:type="dxa"/>
            <w:tcBorders>
              <w:left w:val="nil"/>
              <w:bottom w:val="nil"/>
              <w:right w:val="nil"/>
            </w:tcBorders>
            <w:shd w:val="clear" w:color="auto" w:fill="auto"/>
            <w:noWrap/>
            <w:vAlign w:val="bottom"/>
          </w:tcPr>
          <w:p w:rsidR="00C95EDA" w:rsidRPr="00D440C9" w:rsidRDefault="00C95EDA" w:rsidP="00991C20">
            <w:pPr>
              <w:rPr>
                <w:rFonts w:ascii="Arial" w:hAnsi="Arial" w:cs="Arial"/>
                <w:b/>
                <w:bCs/>
                <w:sz w:val="18"/>
                <w:szCs w:val="18"/>
                <w:lang w:val="en-GB" w:eastAsia="en-GB"/>
              </w:rPr>
            </w:pPr>
          </w:p>
        </w:tc>
        <w:tc>
          <w:tcPr>
            <w:tcW w:w="1418" w:type="dxa"/>
            <w:tcBorders>
              <w:left w:val="nil"/>
              <w:bottom w:val="nil"/>
              <w:right w:val="nil"/>
            </w:tcBorders>
            <w:shd w:val="clear" w:color="000000" w:fill="auto"/>
            <w:noWrap/>
            <w:vAlign w:val="bottom"/>
          </w:tcPr>
          <w:p w:rsidR="00C95EDA" w:rsidRDefault="00C95EDA" w:rsidP="00C95EDA">
            <w:pPr>
              <w:jc w:val="right"/>
              <w:rPr>
                <w:rFonts w:ascii="Arial" w:hAnsi="Arial" w:cs="Arial"/>
                <w:b/>
                <w:bCs/>
                <w:sz w:val="18"/>
                <w:szCs w:val="18"/>
              </w:rPr>
            </w:pPr>
            <w:r>
              <w:rPr>
                <w:rFonts w:ascii="Arial" w:hAnsi="Arial" w:cs="Arial"/>
                <w:b/>
                <w:bCs/>
                <w:sz w:val="18"/>
                <w:szCs w:val="18"/>
              </w:rPr>
              <w:t xml:space="preserve">-  </w:t>
            </w:r>
          </w:p>
        </w:tc>
        <w:tc>
          <w:tcPr>
            <w:tcW w:w="1397" w:type="dxa"/>
            <w:tcBorders>
              <w:left w:val="nil"/>
              <w:bottom w:val="nil"/>
              <w:right w:val="single" w:sz="4" w:space="0" w:color="auto"/>
            </w:tcBorders>
            <w:shd w:val="clear" w:color="000000" w:fill="auto"/>
            <w:noWrap/>
            <w:vAlign w:val="bottom"/>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69</w:t>
            </w:r>
          </w:p>
        </w:tc>
      </w:tr>
      <w:tr w:rsidR="00C95EDA" w:rsidRPr="00D440C9" w:rsidTr="00991C20">
        <w:trPr>
          <w:trHeight w:val="240"/>
        </w:trPr>
        <w:tc>
          <w:tcPr>
            <w:tcW w:w="4962" w:type="dxa"/>
            <w:tcBorders>
              <w:top w:val="nil"/>
              <w:left w:val="single" w:sz="4" w:space="0" w:color="auto"/>
              <w:bottom w:val="single" w:sz="4" w:space="0" w:color="auto"/>
              <w:right w:val="nil"/>
            </w:tcBorders>
            <w:shd w:val="clear" w:color="auto" w:fill="auto"/>
            <w:noWrap/>
            <w:vAlign w:val="bottom"/>
            <w:hideMark/>
          </w:tcPr>
          <w:p w:rsidR="00C95EDA" w:rsidRPr="00D440C9" w:rsidRDefault="00C95EDA" w:rsidP="00121D06">
            <w:pPr>
              <w:rPr>
                <w:rFonts w:ascii="Arial" w:hAnsi="Arial" w:cs="Arial"/>
                <w:sz w:val="18"/>
                <w:szCs w:val="18"/>
                <w:lang w:val="en-GB" w:eastAsia="en-GB"/>
              </w:rPr>
            </w:pPr>
            <w:r w:rsidRPr="00D440C9">
              <w:rPr>
                <w:rFonts w:ascii="Arial" w:hAnsi="Arial" w:cs="Arial"/>
                <w:sz w:val="18"/>
                <w:szCs w:val="18"/>
                <w:lang w:val="en-GB" w:eastAsia="en-GB"/>
              </w:rPr>
              <w:t>Amortisation of</w:t>
            </w:r>
            <w:r>
              <w:rPr>
                <w:rFonts w:ascii="Arial" w:hAnsi="Arial" w:cs="Arial"/>
                <w:sz w:val="18"/>
                <w:szCs w:val="18"/>
                <w:lang w:val="en-GB" w:eastAsia="en-GB"/>
              </w:rPr>
              <w:t xml:space="preserve"> other </w:t>
            </w:r>
            <w:r w:rsidRPr="00D440C9">
              <w:rPr>
                <w:rFonts w:ascii="Arial" w:hAnsi="Arial" w:cs="Arial"/>
                <w:sz w:val="18"/>
                <w:szCs w:val="18"/>
                <w:lang w:val="en-GB" w:eastAsia="en-GB"/>
              </w:rPr>
              <w:t>intangible assets</w:t>
            </w:r>
          </w:p>
        </w:tc>
        <w:tc>
          <w:tcPr>
            <w:tcW w:w="687" w:type="dxa"/>
            <w:tcBorders>
              <w:top w:val="nil"/>
              <w:left w:val="nil"/>
              <w:bottom w:val="single" w:sz="4" w:space="0" w:color="auto"/>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267"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605"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283"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418" w:type="dxa"/>
            <w:tcBorders>
              <w:top w:val="nil"/>
              <w:left w:val="nil"/>
              <w:bottom w:val="single" w:sz="4" w:space="0" w:color="auto"/>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(1,538)</w:t>
            </w:r>
          </w:p>
        </w:tc>
        <w:tc>
          <w:tcPr>
            <w:tcW w:w="1397" w:type="dxa"/>
            <w:tcBorders>
              <w:top w:val="nil"/>
              <w:left w:val="nil"/>
              <w:bottom w:val="single" w:sz="4" w:space="0" w:color="auto"/>
              <w:right w:val="single" w:sz="4" w:space="0" w:color="auto"/>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(1,458)</w:t>
            </w:r>
          </w:p>
        </w:tc>
      </w:tr>
      <w:tr w:rsidR="00C95EDA" w:rsidRPr="00D440C9" w:rsidTr="00991C20">
        <w:trPr>
          <w:trHeight w:val="240"/>
        </w:trPr>
        <w:tc>
          <w:tcPr>
            <w:tcW w:w="4962"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687"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(90,924)</w:t>
            </w:r>
          </w:p>
        </w:tc>
        <w:tc>
          <w:tcPr>
            <w:tcW w:w="139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(87,195)</w:t>
            </w:r>
          </w:p>
        </w:tc>
      </w:tr>
      <w:tr w:rsidR="00C95EDA" w:rsidRPr="00D440C9" w:rsidTr="00991C20">
        <w:trPr>
          <w:trHeight w:val="240"/>
        </w:trPr>
        <w:tc>
          <w:tcPr>
            <w:tcW w:w="4962"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687" w:type="dxa"/>
            <w:tcBorders>
              <w:top w:val="nil"/>
              <w:left w:val="nil"/>
              <w:bottom w:val="single" w:sz="4" w:space="0" w:color="auto"/>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267"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605"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283"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418" w:type="dxa"/>
            <w:tcBorders>
              <w:top w:val="nil"/>
              <w:left w:val="nil"/>
              <w:bottom w:val="single" w:sz="4" w:space="0" w:color="auto"/>
              <w:right w:val="nil"/>
            </w:tcBorders>
            <w:shd w:val="clear" w:color="auto" w:fill="auto"/>
            <w:noWrap/>
            <w:vAlign w:val="bottom"/>
            <w:hideMark/>
          </w:tcPr>
          <w:p w:rsidR="00C95EDA" w:rsidRDefault="00C95EDA" w:rsidP="00C95EDA">
            <w:pPr>
              <w:rPr>
                <w:rFonts w:ascii="Arial" w:hAnsi="Arial" w:cs="Arial"/>
                <w:b/>
                <w:bCs/>
                <w:sz w:val="18"/>
                <w:szCs w:val="18"/>
              </w:rPr>
            </w:pPr>
            <w:r>
              <w:rPr>
                <w:rFonts w:ascii="Arial" w:hAnsi="Arial" w:cs="Arial"/>
                <w:b/>
                <w:bCs/>
                <w:sz w:val="18"/>
                <w:szCs w:val="18"/>
              </w:rPr>
              <w:t> </w:t>
            </w:r>
          </w:p>
        </w:tc>
        <w:tc>
          <w:tcPr>
            <w:tcW w:w="1397" w:type="dxa"/>
            <w:tcBorders>
              <w:top w:val="nil"/>
              <w:left w:val="nil"/>
              <w:bottom w:val="single" w:sz="4" w:space="0" w:color="auto"/>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r w:rsidRPr="00C95EDA">
              <w:rPr>
                <w:rFonts w:ascii="Arial" w:hAnsi="Arial" w:cs="Arial"/>
                <w:bCs/>
                <w:sz w:val="18"/>
                <w:szCs w:val="18"/>
                <w:lang w:val="en-GB"/>
              </w:rPr>
              <w:t> </w:t>
            </w:r>
          </w:p>
        </w:tc>
      </w:tr>
      <w:tr w:rsidR="00FD4870" w:rsidRPr="00D440C9" w:rsidTr="00991C20">
        <w:trPr>
          <w:trHeight w:val="240"/>
        </w:trPr>
        <w:tc>
          <w:tcPr>
            <w:tcW w:w="4962"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r w:rsidRPr="00D440C9">
              <w:rPr>
                <w:rFonts w:ascii="Arial" w:hAnsi="Arial" w:cs="Arial"/>
                <w:b/>
                <w:bCs/>
                <w:sz w:val="18"/>
                <w:szCs w:val="18"/>
                <w:lang w:val="en-GB" w:eastAsia="en-GB"/>
              </w:rPr>
              <w:t>Operating profit</w:t>
            </w:r>
          </w:p>
        </w:tc>
        <w:tc>
          <w:tcPr>
            <w:tcW w:w="687" w:type="dxa"/>
            <w:tcBorders>
              <w:top w:val="nil"/>
              <w:left w:val="nil"/>
              <w:bottom w:val="nil"/>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r w:rsidRPr="00D440C9">
              <w:rPr>
                <w:rFonts w:ascii="Arial" w:hAnsi="Arial" w:cs="Arial"/>
                <w:sz w:val="18"/>
                <w:szCs w:val="18"/>
                <w:lang w:val="en-GB" w:eastAsia="en-GB"/>
              </w:rPr>
              <w:t>3</w:t>
            </w:r>
          </w:p>
        </w:tc>
        <w:tc>
          <w:tcPr>
            <w:tcW w:w="267"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FD4870" w:rsidRDefault="00FD4870" w:rsidP="002B0CA2">
            <w:pPr>
              <w:jc w:val="right"/>
              <w:rPr>
                <w:rFonts w:ascii="Arial" w:hAnsi="Arial" w:cs="Arial"/>
                <w:b/>
                <w:bCs/>
                <w:sz w:val="18"/>
                <w:szCs w:val="18"/>
              </w:rPr>
            </w:pPr>
            <w:r>
              <w:rPr>
                <w:rFonts w:ascii="Arial" w:hAnsi="Arial" w:cs="Arial"/>
                <w:b/>
                <w:bCs/>
                <w:sz w:val="18"/>
                <w:szCs w:val="18"/>
              </w:rPr>
              <w:t>8,983</w:t>
            </w:r>
          </w:p>
        </w:tc>
        <w:tc>
          <w:tcPr>
            <w:tcW w:w="1397" w:type="dxa"/>
            <w:tcBorders>
              <w:top w:val="nil"/>
              <w:left w:val="nil"/>
              <w:bottom w:val="nil"/>
              <w:right w:val="nil"/>
            </w:tcBorders>
            <w:shd w:val="clear" w:color="auto" w:fill="auto"/>
            <w:noWrap/>
            <w:vAlign w:val="bottom"/>
            <w:hideMark/>
          </w:tcPr>
          <w:p w:rsidR="00FD4870" w:rsidRPr="00C95EDA" w:rsidRDefault="00FD4870" w:rsidP="00C95EDA">
            <w:pPr>
              <w:jc w:val="right"/>
              <w:rPr>
                <w:rFonts w:ascii="Arial" w:hAnsi="Arial" w:cs="Arial"/>
                <w:bCs/>
                <w:sz w:val="18"/>
                <w:szCs w:val="18"/>
                <w:lang w:val="en-GB"/>
              </w:rPr>
            </w:pPr>
            <w:r w:rsidRPr="00C95EDA">
              <w:rPr>
                <w:rFonts w:ascii="Arial" w:hAnsi="Arial" w:cs="Arial"/>
                <w:bCs/>
                <w:sz w:val="18"/>
                <w:szCs w:val="18"/>
                <w:lang w:val="en-GB"/>
              </w:rPr>
              <w:t>9,357</w:t>
            </w:r>
          </w:p>
        </w:tc>
      </w:tr>
      <w:tr w:rsidR="00FD4870" w:rsidRPr="00D440C9" w:rsidTr="00991C20">
        <w:trPr>
          <w:trHeight w:val="240"/>
        </w:trPr>
        <w:tc>
          <w:tcPr>
            <w:tcW w:w="4962"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87" w:type="dxa"/>
            <w:tcBorders>
              <w:top w:val="nil"/>
              <w:left w:val="nil"/>
              <w:bottom w:val="nil"/>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FD4870" w:rsidRDefault="00FD4870" w:rsidP="002B0CA2">
            <w:pPr>
              <w:rPr>
                <w:rFonts w:ascii="Arial" w:hAnsi="Arial" w:cs="Arial"/>
                <w:b/>
                <w:bCs/>
                <w:sz w:val="18"/>
                <w:szCs w:val="18"/>
              </w:rPr>
            </w:pPr>
          </w:p>
        </w:tc>
        <w:tc>
          <w:tcPr>
            <w:tcW w:w="1397" w:type="dxa"/>
            <w:tcBorders>
              <w:top w:val="nil"/>
              <w:left w:val="nil"/>
              <w:bottom w:val="nil"/>
              <w:right w:val="nil"/>
            </w:tcBorders>
            <w:shd w:val="clear" w:color="auto" w:fill="auto"/>
            <w:noWrap/>
            <w:vAlign w:val="bottom"/>
            <w:hideMark/>
          </w:tcPr>
          <w:p w:rsidR="00FD4870" w:rsidRPr="00C95EDA" w:rsidRDefault="00FD4870" w:rsidP="00C95EDA">
            <w:pPr>
              <w:rPr>
                <w:rFonts w:ascii="Arial" w:hAnsi="Arial" w:cs="Arial"/>
                <w:bCs/>
                <w:sz w:val="18"/>
                <w:szCs w:val="18"/>
                <w:lang w:val="en-GB"/>
              </w:rPr>
            </w:pPr>
          </w:p>
        </w:tc>
      </w:tr>
      <w:tr w:rsidR="00FD4870" w:rsidRPr="00D440C9" w:rsidTr="00991C20">
        <w:trPr>
          <w:trHeight w:val="240"/>
        </w:trPr>
        <w:tc>
          <w:tcPr>
            <w:tcW w:w="4962"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r w:rsidRPr="00D440C9">
              <w:rPr>
                <w:rFonts w:ascii="Arial" w:hAnsi="Arial" w:cs="Arial"/>
                <w:sz w:val="18"/>
                <w:szCs w:val="18"/>
                <w:lang w:val="en-GB" w:eastAsia="en-GB"/>
              </w:rPr>
              <w:t>Finance income</w:t>
            </w:r>
          </w:p>
        </w:tc>
        <w:tc>
          <w:tcPr>
            <w:tcW w:w="687" w:type="dxa"/>
            <w:tcBorders>
              <w:top w:val="nil"/>
              <w:left w:val="nil"/>
              <w:bottom w:val="nil"/>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FD4870" w:rsidRDefault="00FD4870" w:rsidP="002B0CA2">
            <w:pPr>
              <w:jc w:val="right"/>
              <w:rPr>
                <w:rFonts w:ascii="Arial" w:hAnsi="Arial" w:cs="Arial"/>
                <w:b/>
                <w:bCs/>
                <w:sz w:val="18"/>
                <w:szCs w:val="18"/>
              </w:rPr>
            </w:pPr>
            <w:r>
              <w:rPr>
                <w:rFonts w:ascii="Arial" w:hAnsi="Arial" w:cs="Arial"/>
                <w:b/>
                <w:bCs/>
                <w:sz w:val="18"/>
                <w:szCs w:val="18"/>
              </w:rPr>
              <w:t>296</w:t>
            </w:r>
          </w:p>
        </w:tc>
        <w:tc>
          <w:tcPr>
            <w:tcW w:w="1397" w:type="dxa"/>
            <w:tcBorders>
              <w:top w:val="nil"/>
              <w:left w:val="nil"/>
              <w:bottom w:val="nil"/>
              <w:right w:val="nil"/>
            </w:tcBorders>
            <w:shd w:val="clear" w:color="auto" w:fill="auto"/>
            <w:noWrap/>
            <w:vAlign w:val="bottom"/>
            <w:hideMark/>
          </w:tcPr>
          <w:p w:rsidR="00FD4870" w:rsidRPr="00C95EDA" w:rsidRDefault="00FD4870" w:rsidP="00C95EDA">
            <w:pPr>
              <w:jc w:val="right"/>
              <w:rPr>
                <w:rFonts w:ascii="Arial" w:hAnsi="Arial" w:cs="Arial"/>
                <w:bCs/>
                <w:sz w:val="18"/>
                <w:szCs w:val="18"/>
                <w:lang w:val="en-GB"/>
              </w:rPr>
            </w:pPr>
            <w:r w:rsidRPr="00C95EDA">
              <w:rPr>
                <w:rFonts w:ascii="Arial" w:hAnsi="Arial" w:cs="Arial"/>
                <w:bCs/>
                <w:sz w:val="18"/>
                <w:szCs w:val="18"/>
                <w:lang w:val="en-GB"/>
              </w:rPr>
              <w:t>213</w:t>
            </w:r>
          </w:p>
        </w:tc>
      </w:tr>
      <w:tr w:rsidR="00FD4870" w:rsidRPr="00D440C9" w:rsidTr="00991C20">
        <w:trPr>
          <w:trHeight w:val="240"/>
        </w:trPr>
        <w:tc>
          <w:tcPr>
            <w:tcW w:w="4962"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r w:rsidRPr="00D440C9">
              <w:rPr>
                <w:rFonts w:ascii="Arial" w:hAnsi="Arial" w:cs="Arial"/>
                <w:sz w:val="18"/>
                <w:szCs w:val="18"/>
                <w:lang w:val="en-GB" w:eastAsia="en-GB"/>
              </w:rPr>
              <w:t>Finance costs</w:t>
            </w:r>
          </w:p>
        </w:tc>
        <w:tc>
          <w:tcPr>
            <w:tcW w:w="687" w:type="dxa"/>
            <w:tcBorders>
              <w:top w:val="nil"/>
              <w:left w:val="nil"/>
              <w:bottom w:val="nil"/>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FD4870" w:rsidRDefault="00FD4870" w:rsidP="002B0CA2">
            <w:pPr>
              <w:jc w:val="right"/>
              <w:rPr>
                <w:rFonts w:ascii="Arial" w:hAnsi="Arial" w:cs="Arial"/>
                <w:b/>
                <w:bCs/>
                <w:sz w:val="18"/>
                <w:szCs w:val="18"/>
              </w:rPr>
            </w:pPr>
            <w:r>
              <w:rPr>
                <w:rFonts w:ascii="Arial" w:hAnsi="Arial" w:cs="Arial"/>
                <w:b/>
                <w:bCs/>
                <w:sz w:val="18"/>
                <w:szCs w:val="18"/>
              </w:rPr>
              <w:t>(45)</w:t>
            </w:r>
          </w:p>
        </w:tc>
        <w:tc>
          <w:tcPr>
            <w:tcW w:w="1397" w:type="dxa"/>
            <w:tcBorders>
              <w:top w:val="nil"/>
              <w:left w:val="nil"/>
              <w:bottom w:val="nil"/>
              <w:right w:val="nil"/>
            </w:tcBorders>
            <w:shd w:val="clear" w:color="auto" w:fill="auto"/>
            <w:noWrap/>
            <w:vAlign w:val="bottom"/>
            <w:hideMark/>
          </w:tcPr>
          <w:p w:rsidR="00FD4870" w:rsidRPr="00C95EDA" w:rsidRDefault="00FD4870" w:rsidP="00C95EDA">
            <w:pPr>
              <w:jc w:val="right"/>
              <w:rPr>
                <w:rFonts w:ascii="Arial" w:hAnsi="Arial" w:cs="Arial"/>
                <w:bCs/>
                <w:sz w:val="18"/>
                <w:szCs w:val="18"/>
                <w:lang w:val="en-GB"/>
              </w:rPr>
            </w:pPr>
            <w:r w:rsidRPr="00C95EDA">
              <w:rPr>
                <w:rFonts w:ascii="Arial" w:hAnsi="Arial" w:cs="Arial"/>
                <w:bCs/>
                <w:sz w:val="18"/>
                <w:szCs w:val="18"/>
                <w:lang w:val="en-GB"/>
              </w:rPr>
              <w:t>(32)</w:t>
            </w:r>
          </w:p>
        </w:tc>
      </w:tr>
      <w:tr w:rsidR="00FD4870" w:rsidRPr="00D440C9" w:rsidTr="00991C20">
        <w:trPr>
          <w:trHeight w:val="240"/>
        </w:trPr>
        <w:tc>
          <w:tcPr>
            <w:tcW w:w="4962"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r w:rsidRPr="00D440C9">
              <w:rPr>
                <w:rFonts w:ascii="Arial" w:hAnsi="Arial" w:cs="Arial"/>
                <w:sz w:val="18"/>
                <w:szCs w:val="18"/>
                <w:lang w:val="en-GB" w:eastAsia="en-GB"/>
              </w:rPr>
              <w:t>Share of profit from joint ventures</w:t>
            </w:r>
          </w:p>
        </w:tc>
        <w:tc>
          <w:tcPr>
            <w:tcW w:w="687" w:type="dxa"/>
            <w:tcBorders>
              <w:top w:val="nil"/>
              <w:left w:val="nil"/>
              <w:bottom w:val="nil"/>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FD4870" w:rsidRDefault="00FD4870" w:rsidP="002B0CA2">
            <w:pPr>
              <w:jc w:val="right"/>
              <w:rPr>
                <w:rFonts w:ascii="Arial" w:hAnsi="Arial" w:cs="Arial"/>
                <w:b/>
                <w:bCs/>
                <w:sz w:val="18"/>
                <w:szCs w:val="18"/>
              </w:rPr>
            </w:pPr>
            <w:r>
              <w:rPr>
                <w:rFonts w:ascii="Arial" w:hAnsi="Arial" w:cs="Arial"/>
                <w:b/>
                <w:bCs/>
                <w:sz w:val="18"/>
                <w:szCs w:val="18"/>
              </w:rPr>
              <w:t>62</w:t>
            </w:r>
          </w:p>
        </w:tc>
        <w:tc>
          <w:tcPr>
            <w:tcW w:w="1397" w:type="dxa"/>
            <w:tcBorders>
              <w:top w:val="nil"/>
              <w:left w:val="nil"/>
              <w:bottom w:val="nil"/>
              <w:right w:val="nil"/>
            </w:tcBorders>
            <w:shd w:val="clear" w:color="auto" w:fill="auto"/>
            <w:noWrap/>
            <w:vAlign w:val="bottom"/>
            <w:hideMark/>
          </w:tcPr>
          <w:p w:rsidR="00FD4870" w:rsidRPr="00C95EDA" w:rsidRDefault="00FD4870" w:rsidP="00C95EDA">
            <w:pPr>
              <w:jc w:val="right"/>
              <w:rPr>
                <w:rFonts w:ascii="Arial" w:hAnsi="Arial" w:cs="Arial"/>
                <w:bCs/>
                <w:sz w:val="18"/>
                <w:szCs w:val="18"/>
                <w:lang w:val="en-GB"/>
              </w:rPr>
            </w:pPr>
            <w:r w:rsidRPr="00C95EDA">
              <w:rPr>
                <w:rFonts w:ascii="Arial" w:hAnsi="Arial" w:cs="Arial"/>
                <w:bCs/>
                <w:sz w:val="18"/>
                <w:szCs w:val="18"/>
                <w:lang w:val="en-GB"/>
              </w:rPr>
              <w:t>252</w:t>
            </w:r>
          </w:p>
        </w:tc>
      </w:tr>
      <w:tr w:rsidR="00FD4870" w:rsidRPr="00D440C9" w:rsidTr="00991C20">
        <w:trPr>
          <w:trHeight w:val="240"/>
        </w:trPr>
        <w:tc>
          <w:tcPr>
            <w:tcW w:w="4962" w:type="dxa"/>
            <w:tcBorders>
              <w:top w:val="nil"/>
              <w:left w:val="nil"/>
              <w:bottom w:val="single" w:sz="4" w:space="0" w:color="auto"/>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687" w:type="dxa"/>
            <w:tcBorders>
              <w:top w:val="nil"/>
              <w:left w:val="nil"/>
              <w:bottom w:val="single" w:sz="4" w:space="0" w:color="auto"/>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nil"/>
              <w:left w:val="nil"/>
              <w:bottom w:val="single" w:sz="4" w:space="0" w:color="auto"/>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605" w:type="dxa"/>
            <w:tcBorders>
              <w:top w:val="nil"/>
              <w:left w:val="nil"/>
              <w:bottom w:val="single" w:sz="4" w:space="0" w:color="auto"/>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283" w:type="dxa"/>
            <w:tcBorders>
              <w:top w:val="nil"/>
              <w:left w:val="nil"/>
              <w:bottom w:val="single" w:sz="4" w:space="0" w:color="auto"/>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418" w:type="dxa"/>
            <w:tcBorders>
              <w:top w:val="nil"/>
              <w:left w:val="nil"/>
              <w:bottom w:val="single" w:sz="4" w:space="0" w:color="auto"/>
              <w:right w:val="nil"/>
            </w:tcBorders>
            <w:shd w:val="clear" w:color="auto" w:fill="auto"/>
            <w:noWrap/>
            <w:vAlign w:val="bottom"/>
            <w:hideMark/>
          </w:tcPr>
          <w:p w:rsidR="00FD4870" w:rsidRDefault="00FD4870" w:rsidP="002B0CA2">
            <w:pPr>
              <w:rPr>
                <w:rFonts w:ascii="Arial" w:hAnsi="Arial" w:cs="Arial"/>
                <w:b/>
                <w:bCs/>
                <w:sz w:val="18"/>
                <w:szCs w:val="18"/>
              </w:rPr>
            </w:pPr>
            <w:r>
              <w:rPr>
                <w:rFonts w:ascii="Arial" w:hAnsi="Arial" w:cs="Arial"/>
                <w:b/>
                <w:bCs/>
                <w:sz w:val="18"/>
                <w:szCs w:val="18"/>
              </w:rPr>
              <w:t> </w:t>
            </w:r>
          </w:p>
        </w:tc>
        <w:tc>
          <w:tcPr>
            <w:tcW w:w="1397" w:type="dxa"/>
            <w:tcBorders>
              <w:top w:val="nil"/>
              <w:left w:val="nil"/>
              <w:bottom w:val="single" w:sz="4" w:space="0" w:color="auto"/>
              <w:right w:val="nil"/>
            </w:tcBorders>
            <w:shd w:val="clear" w:color="auto" w:fill="auto"/>
            <w:noWrap/>
            <w:vAlign w:val="bottom"/>
            <w:hideMark/>
          </w:tcPr>
          <w:p w:rsidR="00FD4870" w:rsidRPr="00C95EDA" w:rsidRDefault="00FD4870" w:rsidP="00C95EDA">
            <w:pPr>
              <w:rPr>
                <w:rFonts w:ascii="Arial" w:hAnsi="Arial" w:cs="Arial"/>
                <w:bCs/>
                <w:sz w:val="18"/>
                <w:szCs w:val="18"/>
                <w:lang w:val="en-GB"/>
              </w:rPr>
            </w:pPr>
            <w:r w:rsidRPr="00C95EDA">
              <w:rPr>
                <w:rFonts w:ascii="Arial" w:hAnsi="Arial" w:cs="Arial"/>
                <w:bCs/>
                <w:sz w:val="18"/>
                <w:szCs w:val="18"/>
                <w:lang w:val="en-GB"/>
              </w:rPr>
              <w:t> </w:t>
            </w:r>
          </w:p>
        </w:tc>
      </w:tr>
      <w:tr w:rsidR="00FD4870" w:rsidRPr="00D440C9" w:rsidTr="00991C20">
        <w:trPr>
          <w:trHeight w:val="240"/>
        </w:trPr>
        <w:tc>
          <w:tcPr>
            <w:tcW w:w="4962"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r w:rsidRPr="00D440C9">
              <w:rPr>
                <w:rFonts w:ascii="Arial" w:hAnsi="Arial" w:cs="Arial"/>
                <w:b/>
                <w:bCs/>
                <w:sz w:val="18"/>
                <w:szCs w:val="18"/>
                <w:lang w:val="en-GB" w:eastAsia="en-GB"/>
              </w:rPr>
              <w:t>Profit before taxation</w:t>
            </w:r>
          </w:p>
        </w:tc>
        <w:tc>
          <w:tcPr>
            <w:tcW w:w="687" w:type="dxa"/>
            <w:tcBorders>
              <w:top w:val="nil"/>
              <w:left w:val="nil"/>
              <w:bottom w:val="nil"/>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FD4870" w:rsidRDefault="00FD4870" w:rsidP="002B0CA2">
            <w:pPr>
              <w:jc w:val="right"/>
              <w:rPr>
                <w:rFonts w:ascii="Arial" w:hAnsi="Arial" w:cs="Arial"/>
                <w:b/>
                <w:bCs/>
                <w:sz w:val="18"/>
                <w:szCs w:val="18"/>
              </w:rPr>
            </w:pPr>
            <w:r>
              <w:rPr>
                <w:rFonts w:ascii="Arial" w:hAnsi="Arial" w:cs="Arial"/>
                <w:b/>
                <w:bCs/>
                <w:sz w:val="18"/>
                <w:szCs w:val="18"/>
              </w:rPr>
              <w:t>9,296</w:t>
            </w:r>
          </w:p>
        </w:tc>
        <w:tc>
          <w:tcPr>
            <w:tcW w:w="1397" w:type="dxa"/>
            <w:tcBorders>
              <w:top w:val="nil"/>
              <w:left w:val="nil"/>
              <w:bottom w:val="nil"/>
              <w:right w:val="nil"/>
            </w:tcBorders>
            <w:shd w:val="clear" w:color="auto" w:fill="auto"/>
            <w:noWrap/>
            <w:vAlign w:val="bottom"/>
            <w:hideMark/>
          </w:tcPr>
          <w:p w:rsidR="00FD4870" w:rsidRPr="00C95EDA" w:rsidRDefault="00FD4870" w:rsidP="00C95EDA">
            <w:pPr>
              <w:jc w:val="right"/>
              <w:rPr>
                <w:rFonts w:ascii="Arial" w:hAnsi="Arial" w:cs="Arial"/>
                <w:bCs/>
                <w:sz w:val="18"/>
                <w:szCs w:val="18"/>
                <w:lang w:val="en-GB"/>
              </w:rPr>
            </w:pPr>
            <w:r w:rsidRPr="00C95EDA">
              <w:rPr>
                <w:rFonts w:ascii="Arial" w:hAnsi="Arial" w:cs="Arial"/>
                <w:bCs/>
                <w:sz w:val="18"/>
                <w:szCs w:val="18"/>
                <w:lang w:val="en-GB"/>
              </w:rPr>
              <w:t>9,790</w:t>
            </w:r>
          </w:p>
        </w:tc>
      </w:tr>
      <w:tr w:rsidR="00FD4870" w:rsidRPr="00D440C9" w:rsidTr="00991C20">
        <w:trPr>
          <w:trHeight w:val="240"/>
        </w:trPr>
        <w:tc>
          <w:tcPr>
            <w:tcW w:w="4962"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r w:rsidRPr="00D440C9">
              <w:rPr>
                <w:rFonts w:ascii="Arial" w:hAnsi="Arial" w:cs="Arial"/>
                <w:sz w:val="18"/>
                <w:szCs w:val="18"/>
                <w:lang w:val="en-GB" w:eastAsia="en-GB"/>
              </w:rPr>
              <w:t>Taxation</w:t>
            </w:r>
          </w:p>
        </w:tc>
        <w:tc>
          <w:tcPr>
            <w:tcW w:w="687" w:type="dxa"/>
            <w:tcBorders>
              <w:top w:val="nil"/>
              <w:left w:val="nil"/>
              <w:bottom w:val="nil"/>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FD4870" w:rsidRDefault="00FD4870" w:rsidP="002B0CA2">
            <w:pPr>
              <w:jc w:val="right"/>
              <w:rPr>
                <w:rFonts w:ascii="Arial" w:hAnsi="Arial" w:cs="Arial"/>
                <w:b/>
                <w:bCs/>
                <w:sz w:val="18"/>
                <w:szCs w:val="18"/>
              </w:rPr>
            </w:pPr>
            <w:r>
              <w:rPr>
                <w:rFonts w:ascii="Arial" w:hAnsi="Arial" w:cs="Arial"/>
                <w:b/>
                <w:bCs/>
                <w:sz w:val="18"/>
                <w:szCs w:val="18"/>
              </w:rPr>
              <w:t>(2,447)</w:t>
            </w:r>
          </w:p>
        </w:tc>
        <w:tc>
          <w:tcPr>
            <w:tcW w:w="1397" w:type="dxa"/>
            <w:tcBorders>
              <w:top w:val="nil"/>
              <w:left w:val="nil"/>
              <w:bottom w:val="nil"/>
              <w:right w:val="nil"/>
            </w:tcBorders>
            <w:shd w:val="clear" w:color="auto" w:fill="auto"/>
            <w:noWrap/>
            <w:vAlign w:val="bottom"/>
            <w:hideMark/>
          </w:tcPr>
          <w:p w:rsidR="00FD4870" w:rsidRPr="00C95EDA" w:rsidRDefault="00FD4870" w:rsidP="00C95EDA">
            <w:pPr>
              <w:jc w:val="right"/>
              <w:rPr>
                <w:rFonts w:ascii="Arial" w:hAnsi="Arial" w:cs="Arial"/>
                <w:bCs/>
                <w:sz w:val="18"/>
                <w:szCs w:val="18"/>
                <w:lang w:val="en-GB"/>
              </w:rPr>
            </w:pPr>
            <w:r w:rsidRPr="00C95EDA">
              <w:rPr>
                <w:rFonts w:ascii="Arial" w:hAnsi="Arial" w:cs="Arial"/>
                <w:bCs/>
                <w:sz w:val="18"/>
                <w:szCs w:val="18"/>
                <w:lang w:val="en-GB"/>
              </w:rPr>
              <w:t>(2,888)</w:t>
            </w:r>
          </w:p>
        </w:tc>
      </w:tr>
      <w:tr w:rsidR="00FD4870" w:rsidRPr="00D440C9" w:rsidTr="00991C20">
        <w:trPr>
          <w:trHeight w:val="255"/>
        </w:trPr>
        <w:tc>
          <w:tcPr>
            <w:tcW w:w="4962" w:type="dxa"/>
            <w:tcBorders>
              <w:top w:val="single" w:sz="4" w:space="0" w:color="auto"/>
              <w:left w:val="nil"/>
              <w:bottom w:val="single" w:sz="8" w:space="0" w:color="auto"/>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r w:rsidRPr="00D440C9">
              <w:rPr>
                <w:rFonts w:ascii="Arial" w:hAnsi="Arial" w:cs="Arial"/>
                <w:b/>
                <w:bCs/>
                <w:sz w:val="18"/>
                <w:szCs w:val="18"/>
                <w:lang w:val="en-GB" w:eastAsia="en-GB"/>
              </w:rPr>
              <w:t>Profit for the year</w:t>
            </w:r>
          </w:p>
        </w:tc>
        <w:tc>
          <w:tcPr>
            <w:tcW w:w="687" w:type="dxa"/>
            <w:tcBorders>
              <w:top w:val="single" w:sz="4" w:space="0" w:color="auto"/>
              <w:left w:val="nil"/>
              <w:bottom w:val="single" w:sz="8" w:space="0" w:color="auto"/>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single" w:sz="4" w:space="0" w:color="auto"/>
              <w:left w:val="nil"/>
              <w:bottom w:val="single" w:sz="8" w:space="0" w:color="auto"/>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605" w:type="dxa"/>
            <w:tcBorders>
              <w:top w:val="single" w:sz="4" w:space="0" w:color="auto"/>
              <w:left w:val="nil"/>
              <w:bottom w:val="single" w:sz="8" w:space="0" w:color="auto"/>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283" w:type="dxa"/>
            <w:tcBorders>
              <w:top w:val="single" w:sz="4" w:space="0" w:color="auto"/>
              <w:left w:val="nil"/>
              <w:bottom w:val="single" w:sz="8" w:space="0" w:color="auto"/>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418" w:type="dxa"/>
            <w:tcBorders>
              <w:top w:val="single" w:sz="4" w:space="0" w:color="auto"/>
              <w:left w:val="nil"/>
              <w:bottom w:val="single" w:sz="8" w:space="0" w:color="auto"/>
              <w:right w:val="nil"/>
            </w:tcBorders>
            <w:shd w:val="clear" w:color="auto" w:fill="auto"/>
            <w:noWrap/>
            <w:vAlign w:val="bottom"/>
            <w:hideMark/>
          </w:tcPr>
          <w:p w:rsidR="00FD4870" w:rsidRDefault="00FD4870" w:rsidP="002B0CA2">
            <w:pPr>
              <w:jc w:val="right"/>
              <w:rPr>
                <w:rFonts w:ascii="Arial" w:hAnsi="Arial" w:cs="Arial"/>
                <w:b/>
                <w:bCs/>
                <w:sz w:val="18"/>
                <w:szCs w:val="18"/>
              </w:rPr>
            </w:pPr>
            <w:r>
              <w:rPr>
                <w:rFonts w:ascii="Arial" w:hAnsi="Arial" w:cs="Arial"/>
                <w:b/>
                <w:bCs/>
                <w:sz w:val="18"/>
                <w:szCs w:val="18"/>
              </w:rPr>
              <w:t>6,849</w:t>
            </w:r>
          </w:p>
        </w:tc>
        <w:tc>
          <w:tcPr>
            <w:tcW w:w="1397" w:type="dxa"/>
            <w:tcBorders>
              <w:top w:val="single" w:sz="4" w:space="0" w:color="auto"/>
              <w:left w:val="nil"/>
              <w:bottom w:val="single" w:sz="8" w:space="0" w:color="auto"/>
              <w:right w:val="nil"/>
            </w:tcBorders>
            <w:shd w:val="clear" w:color="auto" w:fill="auto"/>
            <w:noWrap/>
            <w:vAlign w:val="bottom"/>
            <w:hideMark/>
          </w:tcPr>
          <w:p w:rsidR="00FD4870" w:rsidRPr="00C95EDA" w:rsidRDefault="00FD4870" w:rsidP="00C95EDA">
            <w:pPr>
              <w:jc w:val="right"/>
              <w:rPr>
                <w:rFonts w:ascii="Arial" w:hAnsi="Arial" w:cs="Arial"/>
                <w:bCs/>
                <w:sz w:val="18"/>
                <w:szCs w:val="18"/>
                <w:lang w:val="en-GB"/>
              </w:rPr>
            </w:pPr>
            <w:r w:rsidRPr="00C95EDA">
              <w:rPr>
                <w:rFonts w:ascii="Arial" w:hAnsi="Arial" w:cs="Arial"/>
                <w:bCs/>
                <w:sz w:val="18"/>
                <w:szCs w:val="18"/>
                <w:lang w:val="en-GB"/>
              </w:rPr>
              <w:t>6,902</w:t>
            </w:r>
          </w:p>
        </w:tc>
      </w:tr>
      <w:tr w:rsidR="00FD4870" w:rsidRPr="00D440C9" w:rsidTr="00FD4870">
        <w:trPr>
          <w:trHeight w:val="240"/>
        </w:trPr>
        <w:tc>
          <w:tcPr>
            <w:tcW w:w="4962"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87" w:type="dxa"/>
            <w:tcBorders>
              <w:top w:val="nil"/>
              <w:left w:val="nil"/>
              <w:bottom w:val="nil"/>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tcPr>
          <w:p w:rsidR="00FD4870" w:rsidRDefault="00FD4870" w:rsidP="00C95EDA">
            <w:pPr>
              <w:jc w:val="right"/>
              <w:rPr>
                <w:rFonts w:ascii="Arial" w:hAnsi="Arial" w:cs="Arial"/>
                <w:b/>
                <w:bCs/>
                <w:sz w:val="18"/>
                <w:szCs w:val="18"/>
              </w:rPr>
            </w:pPr>
          </w:p>
        </w:tc>
        <w:tc>
          <w:tcPr>
            <w:tcW w:w="1397" w:type="dxa"/>
            <w:tcBorders>
              <w:top w:val="nil"/>
              <w:left w:val="nil"/>
              <w:bottom w:val="nil"/>
              <w:right w:val="nil"/>
            </w:tcBorders>
            <w:shd w:val="clear" w:color="auto" w:fill="auto"/>
            <w:noWrap/>
            <w:vAlign w:val="bottom"/>
            <w:hideMark/>
          </w:tcPr>
          <w:p w:rsidR="00FD4870" w:rsidRPr="00C95EDA" w:rsidRDefault="00FD4870" w:rsidP="00C95EDA">
            <w:pPr>
              <w:rPr>
                <w:rFonts w:ascii="Arial" w:hAnsi="Arial" w:cs="Arial"/>
                <w:bCs/>
                <w:sz w:val="18"/>
                <w:szCs w:val="18"/>
                <w:lang w:val="en-GB"/>
              </w:rPr>
            </w:pPr>
          </w:p>
        </w:tc>
      </w:tr>
      <w:tr w:rsidR="00FD4870" w:rsidRPr="00D440C9" w:rsidTr="00991C20">
        <w:trPr>
          <w:trHeight w:val="240"/>
        </w:trPr>
        <w:tc>
          <w:tcPr>
            <w:tcW w:w="4962"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r w:rsidRPr="00D440C9">
              <w:rPr>
                <w:rFonts w:ascii="Arial" w:hAnsi="Arial" w:cs="Arial"/>
                <w:sz w:val="18"/>
                <w:szCs w:val="18"/>
                <w:lang w:val="en-GB" w:eastAsia="en-GB"/>
              </w:rPr>
              <w:t>Attributable to:</w:t>
            </w:r>
          </w:p>
        </w:tc>
        <w:tc>
          <w:tcPr>
            <w:tcW w:w="687" w:type="dxa"/>
            <w:tcBorders>
              <w:top w:val="nil"/>
              <w:left w:val="nil"/>
              <w:bottom w:val="nil"/>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FD4870" w:rsidRDefault="00FD4870" w:rsidP="00C95EDA">
            <w:pPr>
              <w:jc w:val="right"/>
              <w:rPr>
                <w:rFonts w:ascii="Arial" w:hAnsi="Arial" w:cs="Arial"/>
                <w:b/>
                <w:bCs/>
                <w:sz w:val="18"/>
                <w:szCs w:val="18"/>
              </w:rPr>
            </w:pPr>
          </w:p>
        </w:tc>
        <w:tc>
          <w:tcPr>
            <w:tcW w:w="1397" w:type="dxa"/>
            <w:tcBorders>
              <w:top w:val="nil"/>
              <w:left w:val="nil"/>
              <w:bottom w:val="nil"/>
              <w:right w:val="nil"/>
            </w:tcBorders>
            <w:shd w:val="clear" w:color="auto" w:fill="auto"/>
            <w:noWrap/>
            <w:vAlign w:val="bottom"/>
            <w:hideMark/>
          </w:tcPr>
          <w:p w:rsidR="00FD4870" w:rsidRPr="00C95EDA" w:rsidRDefault="00FD4870" w:rsidP="00C95EDA">
            <w:pPr>
              <w:rPr>
                <w:rFonts w:ascii="Arial" w:hAnsi="Arial" w:cs="Arial"/>
                <w:bCs/>
                <w:sz w:val="18"/>
                <w:szCs w:val="18"/>
                <w:lang w:val="en-GB"/>
              </w:rPr>
            </w:pPr>
          </w:p>
        </w:tc>
      </w:tr>
      <w:tr w:rsidR="00FD4870" w:rsidRPr="00D440C9" w:rsidTr="00991C20">
        <w:trPr>
          <w:trHeight w:val="240"/>
        </w:trPr>
        <w:tc>
          <w:tcPr>
            <w:tcW w:w="4962"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r w:rsidRPr="00D440C9">
              <w:rPr>
                <w:rFonts w:ascii="Arial" w:hAnsi="Arial" w:cs="Arial"/>
                <w:sz w:val="18"/>
                <w:szCs w:val="18"/>
                <w:lang w:val="en-GB" w:eastAsia="en-GB"/>
              </w:rPr>
              <w:t>Ordinary shareholders</w:t>
            </w:r>
          </w:p>
        </w:tc>
        <w:tc>
          <w:tcPr>
            <w:tcW w:w="687" w:type="dxa"/>
            <w:tcBorders>
              <w:top w:val="nil"/>
              <w:left w:val="nil"/>
              <w:bottom w:val="nil"/>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FD4870" w:rsidRDefault="00FD4870" w:rsidP="002B0CA2">
            <w:pPr>
              <w:jc w:val="right"/>
              <w:rPr>
                <w:rFonts w:ascii="Arial" w:hAnsi="Arial" w:cs="Arial"/>
                <w:b/>
                <w:bCs/>
                <w:sz w:val="18"/>
                <w:szCs w:val="18"/>
              </w:rPr>
            </w:pPr>
            <w:r>
              <w:rPr>
                <w:rFonts w:ascii="Arial" w:hAnsi="Arial" w:cs="Arial"/>
                <w:b/>
                <w:bCs/>
                <w:sz w:val="18"/>
                <w:szCs w:val="18"/>
              </w:rPr>
              <w:t>6,824</w:t>
            </w:r>
          </w:p>
        </w:tc>
        <w:tc>
          <w:tcPr>
            <w:tcW w:w="1397" w:type="dxa"/>
            <w:tcBorders>
              <w:top w:val="nil"/>
              <w:left w:val="nil"/>
              <w:bottom w:val="nil"/>
              <w:right w:val="nil"/>
            </w:tcBorders>
            <w:shd w:val="clear" w:color="auto" w:fill="auto"/>
            <w:noWrap/>
            <w:vAlign w:val="bottom"/>
            <w:hideMark/>
          </w:tcPr>
          <w:p w:rsidR="00FD4870" w:rsidRPr="00C95EDA" w:rsidRDefault="00FD4870" w:rsidP="00C95EDA">
            <w:pPr>
              <w:jc w:val="right"/>
              <w:rPr>
                <w:rFonts w:ascii="Arial" w:hAnsi="Arial" w:cs="Arial"/>
                <w:bCs/>
                <w:sz w:val="18"/>
                <w:szCs w:val="18"/>
                <w:lang w:val="en-GB"/>
              </w:rPr>
            </w:pPr>
            <w:r w:rsidRPr="00C95EDA">
              <w:rPr>
                <w:rFonts w:ascii="Arial" w:hAnsi="Arial" w:cs="Arial"/>
                <w:bCs/>
                <w:sz w:val="18"/>
                <w:szCs w:val="18"/>
                <w:lang w:val="en-GB"/>
              </w:rPr>
              <w:t>6,841</w:t>
            </w:r>
          </w:p>
        </w:tc>
      </w:tr>
      <w:tr w:rsidR="00FD4870" w:rsidRPr="00D440C9" w:rsidTr="00991C20">
        <w:trPr>
          <w:trHeight w:val="240"/>
        </w:trPr>
        <w:tc>
          <w:tcPr>
            <w:tcW w:w="4962" w:type="dxa"/>
            <w:tcBorders>
              <w:top w:val="nil"/>
              <w:left w:val="nil"/>
              <w:bottom w:val="nil"/>
              <w:right w:val="nil"/>
            </w:tcBorders>
            <w:shd w:val="clear" w:color="auto" w:fill="auto"/>
            <w:noWrap/>
            <w:vAlign w:val="bottom"/>
            <w:hideMark/>
          </w:tcPr>
          <w:p w:rsidR="00FD4870" w:rsidRPr="00D440C9" w:rsidRDefault="00FD4870" w:rsidP="00EF429F">
            <w:pPr>
              <w:rPr>
                <w:rFonts w:ascii="Arial" w:hAnsi="Arial" w:cs="Arial"/>
                <w:sz w:val="18"/>
                <w:szCs w:val="18"/>
                <w:lang w:val="en-GB" w:eastAsia="en-GB"/>
              </w:rPr>
            </w:pPr>
            <w:r>
              <w:rPr>
                <w:rFonts w:ascii="Arial" w:hAnsi="Arial" w:cs="Arial"/>
                <w:sz w:val="18"/>
                <w:szCs w:val="18"/>
                <w:lang w:val="en-GB" w:eastAsia="en-GB"/>
              </w:rPr>
              <w:t>Non-controlling</w:t>
            </w:r>
            <w:r w:rsidRPr="00D440C9">
              <w:rPr>
                <w:rFonts w:ascii="Arial" w:hAnsi="Arial" w:cs="Arial"/>
                <w:sz w:val="18"/>
                <w:szCs w:val="18"/>
                <w:lang w:val="en-GB" w:eastAsia="en-GB"/>
              </w:rPr>
              <w:t xml:space="preserve"> interest</w:t>
            </w:r>
          </w:p>
        </w:tc>
        <w:tc>
          <w:tcPr>
            <w:tcW w:w="687" w:type="dxa"/>
            <w:tcBorders>
              <w:top w:val="nil"/>
              <w:left w:val="nil"/>
              <w:bottom w:val="nil"/>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FD4870" w:rsidRDefault="00FD4870" w:rsidP="002B0CA2">
            <w:pPr>
              <w:jc w:val="right"/>
              <w:rPr>
                <w:rFonts w:ascii="Arial" w:hAnsi="Arial" w:cs="Arial"/>
                <w:b/>
                <w:bCs/>
                <w:sz w:val="18"/>
                <w:szCs w:val="18"/>
              </w:rPr>
            </w:pPr>
            <w:r>
              <w:rPr>
                <w:rFonts w:ascii="Arial" w:hAnsi="Arial" w:cs="Arial"/>
                <w:b/>
                <w:bCs/>
                <w:sz w:val="18"/>
                <w:szCs w:val="18"/>
              </w:rPr>
              <w:t>25</w:t>
            </w:r>
          </w:p>
        </w:tc>
        <w:tc>
          <w:tcPr>
            <w:tcW w:w="1397" w:type="dxa"/>
            <w:tcBorders>
              <w:top w:val="nil"/>
              <w:left w:val="nil"/>
              <w:bottom w:val="nil"/>
              <w:right w:val="nil"/>
            </w:tcBorders>
            <w:shd w:val="clear" w:color="auto" w:fill="auto"/>
            <w:noWrap/>
            <w:vAlign w:val="bottom"/>
            <w:hideMark/>
          </w:tcPr>
          <w:p w:rsidR="00FD4870" w:rsidRPr="00C95EDA" w:rsidRDefault="00FD4870" w:rsidP="00C95EDA">
            <w:pPr>
              <w:jc w:val="right"/>
              <w:rPr>
                <w:rFonts w:ascii="Arial" w:hAnsi="Arial" w:cs="Arial"/>
                <w:bCs/>
                <w:sz w:val="18"/>
                <w:szCs w:val="18"/>
                <w:lang w:val="en-GB"/>
              </w:rPr>
            </w:pPr>
            <w:r w:rsidRPr="00C95EDA">
              <w:rPr>
                <w:rFonts w:ascii="Arial" w:hAnsi="Arial" w:cs="Arial"/>
                <w:bCs/>
                <w:sz w:val="18"/>
                <w:szCs w:val="18"/>
                <w:lang w:val="en-GB"/>
              </w:rPr>
              <w:t>61</w:t>
            </w:r>
          </w:p>
        </w:tc>
      </w:tr>
      <w:tr w:rsidR="00FD4870" w:rsidRPr="00D440C9" w:rsidTr="00991C20">
        <w:trPr>
          <w:trHeight w:val="255"/>
        </w:trPr>
        <w:tc>
          <w:tcPr>
            <w:tcW w:w="4962" w:type="dxa"/>
            <w:tcBorders>
              <w:top w:val="single" w:sz="4" w:space="0" w:color="auto"/>
              <w:left w:val="nil"/>
              <w:bottom w:val="single" w:sz="8" w:space="0" w:color="auto"/>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r w:rsidRPr="00D440C9">
              <w:rPr>
                <w:rFonts w:ascii="Arial" w:hAnsi="Arial" w:cs="Arial"/>
                <w:b/>
                <w:bCs/>
                <w:sz w:val="18"/>
                <w:szCs w:val="18"/>
                <w:lang w:val="en-GB" w:eastAsia="en-GB"/>
              </w:rPr>
              <w:t>Profit for the year</w:t>
            </w:r>
          </w:p>
        </w:tc>
        <w:tc>
          <w:tcPr>
            <w:tcW w:w="687" w:type="dxa"/>
            <w:tcBorders>
              <w:top w:val="single" w:sz="4" w:space="0" w:color="auto"/>
              <w:left w:val="nil"/>
              <w:bottom w:val="single" w:sz="8" w:space="0" w:color="auto"/>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single" w:sz="4" w:space="0" w:color="auto"/>
              <w:left w:val="nil"/>
              <w:bottom w:val="single" w:sz="8" w:space="0" w:color="auto"/>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605" w:type="dxa"/>
            <w:tcBorders>
              <w:top w:val="single" w:sz="4" w:space="0" w:color="auto"/>
              <w:left w:val="nil"/>
              <w:bottom w:val="single" w:sz="8" w:space="0" w:color="auto"/>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283" w:type="dxa"/>
            <w:tcBorders>
              <w:top w:val="single" w:sz="4" w:space="0" w:color="auto"/>
              <w:left w:val="nil"/>
              <w:bottom w:val="single" w:sz="8" w:space="0" w:color="auto"/>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418" w:type="dxa"/>
            <w:tcBorders>
              <w:top w:val="single" w:sz="4" w:space="0" w:color="auto"/>
              <w:left w:val="nil"/>
              <w:bottom w:val="single" w:sz="8" w:space="0" w:color="auto"/>
              <w:right w:val="nil"/>
            </w:tcBorders>
            <w:shd w:val="clear" w:color="auto" w:fill="auto"/>
            <w:noWrap/>
            <w:vAlign w:val="bottom"/>
            <w:hideMark/>
          </w:tcPr>
          <w:p w:rsidR="00FD4870" w:rsidRDefault="00FD4870" w:rsidP="002B0CA2">
            <w:pPr>
              <w:jc w:val="right"/>
              <w:rPr>
                <w:rFonts w:ascii="Arial" w:hAnsi="Arial" w:cs="Arial"/>
                <w:b/>
                <w:bCs/>
                <w:sz w:val="18"/>
                <w:szCs w:val="18"/>
              </w:rPr>
            </w:pPr>
            <w:r>
              <w:rPr>
                <w:rFonts w:ascii="Arial" w:hAnsi="Arial" w:cs="Arial"/>
                <w:b/>
                <w:bCs/>
                <w:sz w:val="18"/>
                <w:szCs w:val="18"/>
              </w:rPr>
              <w:t>6,849</w:t>
            </w:r>
          </w:p>
        </w:tc>
        <w:tc>
          <w:tcPr>
            <w:tcW w:w="1397" w:type="dxa"/>
            <w:tcBorders>
              <w:top w:val="single" w:sz="4" w:space="0" w:color="auto"/>
              <w:left w:val="nil"/>
              <w:bottom w:val="single" w:sz="8" w:space="0" w:color="auto"/>
              <w:right w:val="nil"/>
            </w:tcBorders>
            <w:shd w:val="clear" w:color="auto" w:fill="auto"/>
            <w:noWrap/>
            <w:vAlign w:val="bottom"/>
            <w:hideMark/>
          </w:tcPr>
          <w:p w:rsidR="00FD4870" w:rsidRPr="00C95EDA" w:rsidRDefault="00FD4870" w:rsidP="00C95EDA">
            <w:pPr>
              <w:jc w:val="right"/>
              <w:rPr>
                <w:rFonts w:ascii="Arial" w:hAnsi="Arial" w:cs="Arial"/>
                <w:bCs/>
                <w:sz w:val="18"/>
                <w:szCs w:val="18"/>
                <w:lang w:val="en-GB"/>
              </w:rPr>
            </w:pPr>
            <w:r w:rsidRPr="00C95EDA">
              <w:rPr>
                <w:rFonts w:ascii="Arial" w:hAnsi="Arial" w:cs="Arial"/>
                <w:bCs/>
                <w:sz w:val="18"/>
                <w:szCs w:val="18"/>
                <w:lang w:val="en-GB"/>
              </w:rPr>
              <w:t>6,902</w:t>
            </w:r>
          </w:p>
        </w:tc>
      </w:tr>
      <w:tr w:rsidR="00FD4870" w:rsidRPr="00D440C9" w:rsidTr="00FD4870">
        <w:trPr>
          <w:trHeight w:val="240"/>
        </w:trPr>
        <w:tc>
          <w:tcPr>
            <w:tcW w:w="4962"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87" w:type="dxa"/>
            <w:tcBorders>
              <w:top w:val="nil"/>
              <w:left w:val="nil"/>
              <w:bottom w:val="nil"/>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tcPr>
          <w:p w:rsidR="00FD4870" w:rsidRDefault="00FD4870" w:rsidP="00C95EDA">
            <w:pPr>
              <w:jc w:val="right"/>
              <w:rPr>
                <w:rFonts w:ascii="Arial" w:hAnsi="Arial" w:cs="Arial"/>
                <w:b/>
                <w:bCs/>
                <w:sz w:val="18"/>
                <w:szCs w:val="18"/>
              </w:rPr>
            </w:pPr>
          </w:p>
        </w:tc>
        <w:tc>
          <w:tcPr>
            <w:tcW w:w="1397" w:type="dxa"/>
            <w:tcBorders>
              <w:top w:val="nil"/>
              <w:left w:val="nil"/>
              <w:bottom w:val="nil"/>
              <w:right w:val="nil"/>
            </w:tcBorders>
            <w:shd w:val="clear" w:color="auto" w:fill="auto"/>
            <w:noWrap/>
            <w:vAlign w:val="bottom"/>
            <w:hideMark/>
          </w:tcPr>
          <w:p w:rsidR="00FD4870" w:rsidRPr="00C95EDA" w:rsidRDefault="00FD4870" w:rsidP="00C95EDA">
            <w:pPr>
              <w:rPr>
                <w:rFonts w:ascii="Arial" w:hAnsi="Arial" w:cs="Arial"/>
                <w:bCs/>
                <w:sz w:val="18"/>
                <w:szCs w:val="18"/>
                <w:lang w:val="en-GB"/>
              </w:rPr>
            </w:pPr>
          </w:p>
        </w:tc>
      </w:tr>
      <w:tr w:rsidR="00FD4870" w:rsidRPr="00D440C9" w:rsidTr="00C95EDA">
        <w:trPr>
          <w:trHeight w:val="240"/>
        </w:trPr>
        <w:tc>
          <w:tcPr>
            <w:tcW w:w="4962"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87" w:type="dxa"/>
            <w:tcBorders>
              <w:top w:val="nil"/>
              <w:left w:val="nil"/>
              <w:bottom w:val="nil"/>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hideMark/>
          </w:tcPr>
          <w:p w:rsidR="00FD4870" w:rsidRPr="00386DA7" w:rsidRDefault="00FD4870" w:rsidP="00C95EDA">
            <w:pPr>
              <w:pStyle w:val="03Bodynospace"/>
              <w:jc w:val="right"/>
              <w:rPr>
                <w:b/>
              </w:rPr>
            </w:pPr>
          </w:p>
        </w:tc>
        <w:tc>
          <w:tcPr>
            <w:tcW w:w="1397" w:type="dxa"/>
            <w:tcBorders>
              <w:top w:val="nil"/>
              <w:left w:val="nil"/>
              <w:bottom w:val="nil"/>
              <w:right w:val="nil"/>
            </w:tcBorders>
            <w:shd w:val="clear" w:color="auto" w:fill="auto"/>
            <w:noWrap/>
            <w:vAlign w:val="bottom"/>
            <w:hideMark/>
          </w:tcPr>
          <w:p w:rsidR="00FD4870" w:rsidRPr="00C95EDA" w:rsidRDefault="00FD4870" w:rsidP="00C95EDA">
            <w:pPr>
              <w:rPr>
                <w:rFonts w:ascii="Arial" w:hAnsi="Arial" w:cs="Arial"/>
                <w:bCs/>
                <w:sz w:val="18"/>
                <w:szCs w:val="18"/>
                <w:lang w:val="en-GB"/>
              </w:rPr>
            </w:pPr>
          </w:p>
        </w:tc>
      </w:tr>
      <w:tr w:rsidR="00FD4870" w:rsidRPr="00D440C9" w:rsidTr="00C95EDA">
        <w:trPr>
          <w:trHeight w:val="240"/>
        </w:trPr>
        <w:tc>
          <w:tcPr>
            <w:tcW w:w="4962"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r w:rsidRPr="00D440C9">
              <w:rPr>
                <w:rFonts w:ascii="Arial" w:hAnsi="Arial" w:cs="Arial"/>
                <w:b/>
                <w:bCs/>
                <w:sz w:val="18"/>
                <w:szCs w:val="18"/>
                <w:lang w:val="en-GB" w:eastAsia="en-GB"/>
              </w:rPr>
              <w:t>Earnings per ordinary share</w:t>
            </w:r>
          </w:p>
        </w:tc>
        <w:tc>
          <w:tcPr>
            <w:tcW w:w="687" w:type="dxa"/>
            <w:tcBorders>
              <w:top w:val="nil"/>
              <w:left w:val="nil"/>
              <w:bottom w:val="nil"/>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r>
              <w:rPr>
                <w:rFonts w:ascii="Arial" w:hAnsi="Arial" w:cs="Arial"/>
                <w:sz w:val="18"/>
                <w:szCs w:val="18"/>
                <w:lang w:val="en-GB" w:eastAsia="en-GB"/>
              </w:rPr>
              <w:t>6</w:t>
            </w:r>
          </w:p>
        </w:tc>
        <w:tc>
          <w:tcPr>
            <w:tcW w:w="267"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hideMark/>
          </w:tcPr>
          <w:p w:rsidR="00FD4870" w:rsidRPr="00386DA7" w:rsidRDefault="00FD4870" w:rsidP="00C95EDA">
            <w:pPr>
              <w:pStyle w:val="03Bodynospace"/>
              <w:jc w:val="right"/>
              <w:rPr>
                <w:b/>
              </w:rPr>
            </w:pPr>
          </w:p>
        </w:tc>
        <w:tc>
          <w:tcPr>
            <w:tcW w:w="1397" w:type="dxa"/>
            <w:tcBorders>
              <w:top w:val="nil"/>
              <w:left w:val="nil"/>
              <w:bottom w:val="nil"/>
              <w:right w:val="nil"/>
            </w:tcBorders>
            <w:shd w:val="clear" w:color="auto" w:fill="auto"/>
            <w:noWrap/>
            <w:vAlign w:val="bottom"/>
            <w:hideMark/>
          </w:tcPr>
          <w:p w:rsidR="00FD4870" w:rsidRPr="00C95EDA" w:rsidRDefault="00FD4870" w:rsidP="00C95EDA">
            <w:pPr>
              <w:rPr>
                <w:rFonts w:ascii="Arial" w:hAnsi="Arial" w:cs="Arial"/>
                <w:bCs/>
                <w:sz w:val="18"/>
                <w:szCs w:val="18"/>
                <w:lang w:val="en-GB"/>
              </w:rPr>
            </w:pPr>
          </w:p>
        </w:tc>
      </w:tr>
      <w:tr w:rsidR="00FD4870" w:rsidRPr="00D440C9" w:rsidTr="00991C20">
        <w:trPr>
          <w:trHeight w:val="240"/>
        </w:trPr>
        <w:tc>
          <w:tcPr>
            <w:tcW w:w="4962"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r w:rsidRPr="00D440C9">
              <w:rPr>
                <w:rFonts w:ascii="Arial" w:hAnsi="Arial" w:cs="Arial"/>
                <w:sz w:val="18"/>
                <w:szCs w:val="18"/>
                <w:lang w:val="en-GB" w:eastAsia="en-GB"/>
              </w:rPr>
              <w:t>Basic - profit for the year</w:t>
            </w:r>
          </w:p>
        </w:tc>
        <w:tc>
          <w:tcPr>
            <w:tcW w:w="687" w:type="dxa"/>
            <w:tcBorders>
              <w:top w:val="nil"/>
              <w:left w:val="nil"/>
              <w:bottom w:val="nil"/>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FD4870" w:rsidRDefault="00FD4870" w:rsidP="009C043D">
            <w:pPr>
              <w:jc w:val="right"/>
              <w:rPr>
                <w:rFonts w:ascii="Arial" w:hAnsi="Arial" w:cs="Arial"/>
                <w:b/>
                <w:bCs/>
                <w:sz w:val="18"/>
                <w:szCs w:val="18"/>
              </w:rPr>
            </w:pPr>
            <w:r>
              <w:rPr>
                <w:rFonts w:ascii="Arial" w:hAnsi="Arial" w:cs="Arial"/>
                <w:b/>
                <w:bCs/>
                <w:sz w:val="18"/>
                <w:szCs w:val="18"/>
              </w:rPr>
              <w:t xml:space="preserve">         32.78p</w:t>
            </w:r>
          </w:p>
        </w:tc>
        <w:tc>
          <w:tcPr>
            <w:tcW w:w="1397" w:type="dxa"/>
            <w:tcBorders>
              <w:top w:val="nil"/>
              <w:left w:val="nil"/>
              <w:bottom w:val="nil"/>
              <w:right w:val="nil"/>
            </w:tcBorders>
            <w:shd w:val="clear" w:color="auto" w:fill="auto"/>
            <w:noWrap/>
            <w:vAlign w:val="bottom"/>
            <w:hideMark/>
          </w:tcPr>
          <w:p w:rsidR="00FD4870" w:rsidRPr="00C95EDA" w:rsidRDefault="00FD4870" w:rsidP="00C95EDA">
            <w:pPr>
              <w:jc w:val="right"/>
              <w:rPr>
                <w:rFonts w:ascii="Arial" w:hAnsi="Arial" w:cs="Arial"/>
                <w:sz w:val="18"/>
                <w:szCs w:val="18"/>
                <w:lang w:val="en-GB"/>
              </w:rPr>
            </w:pPr>
            <w:r w:rsidRPr="00C95EDA">
              <w:rPr>
                <w:rFonts w:ascii="Arial" w:hAnsi="Arial" w:cs="Arial"/>
                <w:sz w:val="18"/>
                <w:szCs w:val="18"/>
                <w:lang w:val="en-GB"/>
              </w:rPr>
              <w:t xml:space="preserve">         33.84p</w:t>
            </w:r>
          </w:p>
        </w:tc>
      </w:tr>
      <w:tr w:rsidR="00FD4870" w:rsidRPr="00D440C9" w:rsidTr="00991C20">
        <w:trPr>
          <w:trHeight w:val="240"/>
        </w:trPr>
        <w:tc>
          <w:tcPr>
            <w:tcW w:w="4962"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r w:rsidRPr="00D440C9">
              <w:rPr>
                <w:rFonts w:ascii="Arial" w:hAnsi="Arial" w:cs="Arial"/>
                <w:sz w:val="18"/>
                <w:szCs w:val="18"/>
                <w:lang w:val="en-GB" w:eastAsia="en-GB"/>
              </w:rPr>
              <w:t>Diluted - profit for the year</w:t>
            </w:r>
          </w:p>
        </w:tc>
        <w:tc>
          <w:tcPr>
            <w:tcW w:w="687" w:type="dxa"/>
            <w:tcBorders>
              <w:top w:val="nil"/>
              <w:left w:val="nil"/>
              <w:bottom w:val="nil"/>
              <w:right w:val="nil"/>
            </w:tcBorders>
            <w:shd w:val="clear" w:color="auto" w:fill="auto"/>
            <w:noWrap/>
            <w:vAlign w:val="bottom"/>
            <w:hideMark/>
          </w:tcPr>
          <w:p w:rsidR="00FD4870" w:rsidRPr="00D440C9" w:rsidRDefault="00FD4870" w:rsidP="00991C20">
            <w:pPr>
              <w:jc w:val="center"/>
              <w:rPr>
                <w:rFonts w:ascii="Arial" w:hAnsi="Arial" w:cs="Arial"/>
                <w:sz w:val="18"/>
                <w:szCs w:val="18"/>
                <w:lang w:val="en-GB" w:eastAsia="en-GB"/>
              </w:rPr>
            </w:pPr>
          </w:p>
        </w:tc>
        <w:tc>
          <w:tcPr>
            <w:tcW w:w="267"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sz w:val="18"/>
                <w:szCs w:val="18"/>
                <w:lang w:val="en-GB" w:eastAsia="en-GB"/>
              </w:rPr>
            </w:pPr>
          </w:p>
        </w:tc>
        <w:tc>
          <w:tcPr>
            <w:tcW w:w="605"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283" w:type="dxa"/>
            <w:tcBorders>
              <w:top w:val="nil"/>
              <w:left w:val="nil"/>
              <w:bottom w:val="nil"/>
              <w:right w:val="nil"/>
            </w:tcBorders>
            <w:shd w:val="clear" w:color="auto" w:fill="auto"/>
            <w:noWrap/>
            <w:vAlign w:val="bottom"/>
            <w:hideMark/>
          </w:tcPr>
          <w:p w:rsidR="00FD4870" w:rsidRPr="00D440C9" w:rsidRDefault="00FD4870"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FD4870" w:rsidRDefault="00FD4870" w:rsidP="009C043D">
            <w:pPr>
              <w:jc w:val="right"/>
              <w:rPr>
                <w:rFonts w:ascii="Arial" w:hAnsi="Arial" w:cs="Arial"/>
                <w:b/>
                <w:bCs/>
                <w:sz w:val="18"/>
                <w:szCs w:val="18"/>
              </w:rPr>
            </w:pPr>
            <w:r>
              <w:rPr>
                <w:rFonts w:ascii="Arial" w:hAnsi="Arial" w:cs="Arial"/>
                <w:b/>
                <w:bCs/>
                <w:sz w:val="18"/>
                <w:szCs w:val="18"/>
              </w:rPr>
              <w:t xml:space="preserve">         31.72p</w:t>
            </w:r>
          </w:p>
        </w:tc>
        <w:tc>
          <w:tcPr>
            <w:tcW w:w="1397" w:type="dxa"/>
            <w:tcBorders>
              <w:top w:val="nil"/>
              <w:left w:val="nil"/>
              <w:bottom w:val="nil"/>
              <w:right w:val="nil"/>
            </w:tcBorders>
            <w:shd w:val="clear" w:color="auto" w:fill="auto"/>
            <w:noWrap/>
            <w:vAlign w:val="bottom"/>
            <w:hideMark/>
          </w:tcPr>
          <w:p w:rsidR="00FD4870" w:rsidRPr="00C95EDA" w:rsidRDefault="00FD4870" w:rsidP="00C95EDA">
            <w:pPr>
              <w:jc w:val="right"/>
              <w:rPr>
                <w:rFonts w:ascii="Arial" w:hAnsi="Arial" w:cs="Arial"/>
                <w:sz w:val="18"/>
                <w:szCs w:val="18"/>
                <w:lang w:val="en-GB"/>
              </w:rPr>
            </w:pPr>
            <w:r w:rsidRPr="00C95EDA">
              <w:rPr>
                <w:rFonts w:ascii="Arial" w:hAnsi="Arial" w:cs="Arial"/>
                <w:sz w:val="18"/>
                <w:szCs w:val="18"/>
                <w:lang w:val="en-GB"/>
              </w:rPr>
              <w:t xml:space="preserve">    32.53p</w:t>
            </w:r>
          </w:p>
        </w:tc>
      </w:tr>
    </w:tbl>
    <w:p w:rsidR="00EB71C5" w:rsidRPr="00D440C9" w:rsidRDefault="00EB71C5">
      <w:pPr>
        <w:pStyle w:val="HTMLPreformatted"/>
        <w:rPr>
          <w:rFonts w:ascii="Arial" w:hAnsi="Arial" w:cs="Arial"/>
          <w:b/>
          <w:bCs/>
        </w:rPr>
      </w:pPr>
    </w:p>
    <w:p w:rsidR="00EB71C5" w:rsidRPr="00D440C9" w:rsidRDefault="00EB71C5">
      <w:pPr>
        <w:pStyle w:val="HTMLPreformatted"/>
        <w:rPr>
          <w:rFonts w:ascii="Arial" w:hAnsi="Arial" w:cs="Arial"/>
          <w:b/>
          <w:bCs/>
        </w:rPr>
      </w:pPr>
    </w:p>
    <w:p w:rsidR="00EB71C5" w:rsidRPr="00D440C9" w:rsidRDefault="00DA05C4" w:rsidP="00EB71C5">
      <w:pPr>
        <w:rPr>
          <w:rFonts w:ascii="Arial" w:hAnsi="Arial" w:cs="Arial"/>
          <w:b/>
          <w:bCs/>
          <w:sz w:val="22"/>
          <w:szCs w:val="22"/>
          <w:lang w:val="en-GB" w:eastAsia="en-GB"/>
        </w:rPr>
      </w:pPr>
      <w:r w:rsidRPr="00DA05C4">
        <w:rPr>
          <w:rFonts w:ascii="Arial" w:hAnsi="Arial" w:cs="Arial"/>
          <w:b/>
          <w:bCs/>
          <w:sz w:val="22"/>
          <w:szCs w:val="22"/>
          <w:lang w:val="en-GB" w:eastAsia="en-GB"/>
        </w:rPr>
        <w:t>A</w:t>
      </w:r>
      <w:r w:rsidR="00C27939" w:rsidRPr="00DA05C4">
        <w:rPr>
          <w:rFonts w:ascii="Arial" w:hAnsi="Arial" w:cs="Arial"/>
          <w:b/>
          <w:bCs/>
          <w:sz w:val="22"/>
          <w:szCs w:val="22"/>
          <w:lang w:val="en-GB" w:eastAsia="en-GB"/>
        </w:rPr>
        <w:t xml:space="preserve">udited Consolidated </w:t>
      </w:r>
      <w:r w:rsidR="00EB71C5" w:rsidRPr="00DA05C4">
        <w:rPr>
          <w:rFonts w:ascii="Arial" w:hAnsi="Arial" w:cs="Arial"/>
          <w:b/>
          <w:bCs/>
          <w:sz w:val="22"/>
          <w:szCs w:val="22"/>
          <w:lang w:val="en-GB" w:eastAsia="en-GB"/>
        </w:rPr>
        <w:t>Statement of comprehensive income</w:t>
      </w:r>
    </w:p>
    <w:p w:rsidR="00EB71C5" w:rsidRPr="00D440C9" w:rsidRDefault="00EB71C5" w:rsidP="00EB71C5">
      <w:pPr>
        <w:rPr>
          <w:rFonts w:ascii="Arial" w:hAnsi="Arial" w:cs="Arial"/>
          <w:b/>
          <w:bCs/>
          <w:sz w:val="18"/>
          <w:szCs w:val="18"/>
          <w:lang w:val="en-GB" w:eastAsia="en-GB"/>
        </w:rPr>
      </w:pPr>
    </w:p>
    <w:tbl>
      <w:tblPr>
        <w:tblW w:w="9635" w:type="dxa"/>
        <w:tblInd w:w="108" w:type="dxa"/>
        <w:tblLook w:val="04A0" w:firstRow="1" w:lastRow="0" w:firstColumn="1" w:lastColumn="0" w:noHBand="0" w:noVBand="1"/>
      </w:tblPr>
      <w:tblGrid>
        <w:gridCol w:w="5103"/>
        <w:gridCol w:w="706"/>
        <w:gridCol w:w="570"/>
        <w:gridCol w:w="425"/>
        <w:gridCol w:w="1418"/>
        <w:gridCol w:w="1413"/>
      </w:tblGrid>
      <w:tr w:rsidR="00991C20" w:rsidRPr="00D440C9" w:rsidTr="00991C20">
        <w:trPr>
          <w:trHeight w:val="240"/>
        </w:trPr>
        <w:tc>
          <w:tcPr>
            <w:tcW w:w="5103" w:type="dxa"/>
            <w:tcBorders>
              <w:top w:val="nil"/>
              <w:left w:val="nil"/>
              <w:bottom w:val="nil"/>
              <w:right w:val="nil"/>
            </w:tcBorders>
            <w:shd w:val="clear" w:color="000000" w:fill="FFFFFF"/>
            <w:noWrap/>
            <w:vAlign w:val="bottom"/>
            <w:hideMark/>
          </w:tcPr>
          <w:p w:rsidR="00991C20" w:rsidRPr="00D440C9" w:rsidRDefault="00991C20"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706" w:type="dxa"/>
            <w:tcBorders>
              <w:top w:val="nil"/>
              <w:left w:val="nil"/>
              <w:bottom w:val="nil"/>
              <w:right w:val="nil"/>
            </w:tcBorders>
            <w:shd w:val="clear" w:color="000000" w:fill="FFFFFF"/>
            <w:noWrap/>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 </w:t>
            </w:r>
          </w:p>
        </w:tc>
        <w:tc>
          <w:tcPr>
            <w:tcW w:w="570" w:type="dxa"/>
            <w:tcBorders>
              <w:top w:val="nil"/>
              <w:left w:val="nil"/>
              <w:bottom w:val="nil"/>
              <w:right w:val="nil"/>
            </w:tcBorders>
            <w:shd w:val="clear" w:color="000000" w:fill="FFFFFF"/>
            <w:noWrap/>
            <w:vAlign w:val="bottom"/>
            <w:hideMark/>
          </w:tcPr>
          <w:p w:rsidR="00991C20" w:rsidRPr="00D440C9" w:rsidRDefault="00991C20" w:rsidP="00991C20">
            <w:pPr>
              <w:jc w:val="cente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425" w:type="dxa"/>
            <w:tcBorders>
              <w:top w:val="nil"/>
              <w:left w:val="nil"/>
              <w:bottom w:val="nil"/>
              <w:right w:val="nil"/>
            </w:tcBorders>
            <w:shd w:val="clear" w:color="000000" w:fill="FFFFFF"/>
            <w:noWrap/>
            <w:vAlign w:val="bottom"/>
            <w:hideMark/>
          </w:tcPr>
          <w:p w:rsidR="00991C20" w:rsidRPr="00D440C9" w:rsidRDefault="00991C20" w:rsidP="00991C20">
            <w:pPr>
              <w:jc w:val="cente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418" w:type="dxa"/>
            <w:tcBorders>
              <w:top w:val="nil"/>
              <w:left w:val="nil"/>
              <w:bottom w:val="nil"/>
              <w:right w:val="nil"/>
            </w:tcBorders>
            <w:shd w:val="clear" w:color="auto" w:fill="auto"/>
            <w:noWrap/>
            <w:vAlign w:val="bottom"/>
            <w:hideMark/>
          </w:tcPr>
          <w:p w:rsidR="00991C20" w:rsidRPr="00D440C9" w:rsidRDefault="00991C20" w:rsidP="00C95EDA">
            <w:pPr>
              <w:jc w:val="right"/>
              <w:rPr>
                <w:rFonts w:ascii="Arial" w:hAnsi="Arial" w:cs="Arial"/>
                <w:b/>
                <w:bCs/>
                <w:sz w:val="18"/>
                <w:szCs w:val="18"/>
                <w:lang w:val="en-GB" w:eastAsia="en-GB"/>
              </w:rPr>
            </w:pPr>
            <w:r w:rsidRPr="00D440C9">
              <w:rPr>
                <w:rFonts w:ascii="Arial" w:hAnsi="Arial" w:cs="Arial"/>
                <w:b/>
                <w:bCs/>
                <w:sz w:val="18"/>
                <w:szCs w:val="18"/>
                <w:lang w:val="en-GB" w:eastAsia="en-GB"/>
              </w:rPr>
              <w:t>2</w:t>
            </w:r>
            <w:r w:rsidR="00C95EDA">
              <w:rPr>
                <w:rFonts w:ascii="Arial" w:hAnsi="Arial" w:cs="Arial"/>
                <w:b/>
                <w:bCs/>
                <w:sz w:val="18"/>
                <w:szCs w:val="18"/>
                <w:lang w:val="en-GB" w:eastAsia="en-GB"/>
              </w:rPr>
              <w:t>8</w:t>
            </w:r>
            <w:r w:rsidRPr="00D440C9">
              <w:rPr>
                <w:rFonts w:ascii="Arial" w:hAnsi="Arial" w:cs="Arial"/>
                <w:b/>
                <w:bCs/>
                <w:sz w:val="18"/>
                <w:szCs w:val="18"/>
                <w:lang w:val="en-GB" w:eastAsia="en-GB"/>
              </w:rPr>
              <w:t xml:space="preserve"> Feb 201</w:t>
            </w:r>
            <w:r w:rsidR="00C95EDA">
              <w:rPr>
                <w:rFonts w:ascii="Arial" w:hAnsi="Arial" w:cs="Arial"/>
                <w:b/>
                <w:bCs/>
                <w:sz w:val="18"/>
                <w:szCs w:val="18"/>
                <w:lang w:val="en-GB" w:eastAsia="en-GB"/>
              </w:rPr>
              <w:t>3</w:t>
            </w:r>
          </w:p>
        </w:tc>
        <w:tc>
          <w:tcPr>
            <w:tcW w:w="1413" w:type="dxa"/>
            <w:tcBorders>
              <w:top w:val="nil"/>
              <w:left w:val="nil"/>
              <w:bottom w:val="nil"/>
              <w:right w:val="nil"/>
            </w:tcBorders>
            <w:shd w:val="clear" w:color="auto" w:fill="auto"/>
            <w:noWrap/>
            <w:vAlign w:val="bottom"/>
            <w:hideMark/>
          </w:tcPr>
          <w:p w:rsidR="00991C20" w:rsidRPr="00D440C9" w:rsidRDefault="000A0DA8" w:rsidP="00C95EDA">
            <w:pPr>
              <w:jc w:val="right"/>
              <w:rPr>
                <w:rFonts w:ascii="Arial" w:hAnsi="Arial" w:cs="Arial"/>
                <w:sz w:val="18"/>
                <w:szCs w:val="18"/>
                <w:lang w:val="en-GB" w:eastAsia="en-GB"/>
              </w:rPr>
            </w:pPr>
            <w:r>
              <w:rPr>
                <w:rFonts w:ascii="Arial" w:hAnsi="Arial" w:cs="Arial"/>
                <w:sz w:val="18"/>
                <w:szCs w:val="18"/>
                <w:lang w:val="en-GB" w:eastAsia="en-GB"/>
              </w:rPr>
              <w:t>2</w:t>
            </w:r>
            <w:r w:rsidR="00C95EDA">
              <w:rPr>
                <w:rFonts w:ascii="Arial" w:hAnsi="Arial" w:cs="Arial"/>
                <w:sz w:val="18"/>
                <w:szCs w:val="18"/>
                <w:lang w:val="en-GB" w:eastAsia="en-GB"/>
              </w:rPr>
              <w:t>9</w:t>
            </w:r>
            <w:r>
              <w:rPr>
                <w:rFonts w:ascii="Arial" w:hAnsi="Arial" w:cs="Arial"/>
                <w:sz w:val="18"/>
                <w:szCs w:val="18"/>
                <w:lang w:val="en-GB" w:eastAsia="en-GB"/>
              </w:rPr>
              <w:t xml:space="preserve"> Feb 201</w:t>
            </w:r>
            <w:r w:rsidR="00C95EDA">
              <w:rPr>
                <w:rFonts w:ascii="Arial" w:hAnsi="Arial" w:cs="Arial"/>
                <w:sz w:val="18"/>
                <w:szCs w:val="18"/>
                <w:lang w:val="en-GB" w:eastAsia="en-GB"/>
              </w:rPr>
              <w:t>2</w:t>
            </w:r>
          </w:p>
        </w:tc>
      </w:tr>
      <w:tr w:rsidR="00991C20" w:rsidRPr="00D440C9" w:rsidTr="00991C20">
        <w:trPr>
          <w:trHeight w:val="255"/>
        </w:trPr>
        <w:tc>
          <w:tcPr>
            <w:tcW w:w="5103" w:type="dxa"/>
            <w:tcBorders>
              <w:top w:val="nil"/>
              <w:left w:val="nil"/>
              <w:bottom w:val="single" w:sz="8" w:space="0" w:color="auto"/>
              <w:right w:val="nil"/>
            </w:tcBorders>
            <w:shd w:val="clear" w:color="000000" w:fill="FFFFFF"/>
            <w:noWrap/>
            <w:vAlign w:val="bottom"/>
            <w:hideMark/>
          </w:tcPr>
          <w:p w:rsidR="00991C20" w:rsidRPr="00D440C9" w:rsidRDefault="00991C20"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706" w:type="dxa"/>
            <w:tcBorders>
              <w:top w:val="nil"/>
              <w:left w:val="nil"/>
              <w:bottom w:val="single" w:sz="8" w:space="0" w:color="auto"/>
              <w:right w:val="nil"/>
            </w:tcBorders>
            <w:shd w:val="clear" w:color="000000" w:fill="FFFFFF"/>
            <w:noWrap/>
            <w:vAlign w:val="bottom"/>
            <w:hideMark/>
          </w:tcPr>
          <w:p w:rsidR="00991C20" w:rsidRPr="00D440C9" w:rsidRDefault="00991C20" w:rsidP="00991C20">
            <w:pPr>
              <w:jc w:val="center"/>
              <w:rPr>
                <w:rFonts w:ascii="Arial" w:hAnsi="Arial" w:cs="Arial"/>
                <w:sz w:val="18"/>
                <w:szCs w:val="18"/>
                <w:lang w:val="en-GB" w:eastAsia="en-GB"/>
              </w:rPr>
            </w:pPr>
          </w:p>
        </w:tc>
        <w:tc>
          <w:tcPr>
            <w:tcW w:w="570" w:type="dxa"/>
            <w:tcBorders>
              <w:top w:val="nil"/>
              <w:left w:val="nil"/>
              <w:bottom w:val="single" w:sz="8" w:space="0" w:color="auto"/>
              <w:right w:val="nil"/>
            </w:tcBorders>
            <w:shd w:val="clear" w:color="000000" w:fill="FFFFFF"/>
            <w:noWrap/>
            <w:vAlign w:val="bottom"/>
            <w:hideMark/>
          </w:tcPr>
          <w:p w:rsidR="00991C20" w:rsidRPr="00D440C9" w:rsidRDefault="00991C20" w:rsidP="00991C20">
            <w:pPr>
              <w:jc w:val="cente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425" w:type="dxa"/>
            <w:tcBorders>
              <w:top w:val="nil"/>
              <w:left w:val="nil"/>
              <w:bottom w:val="single" w:sz="8" w:space="0" w:color="auto"/>
              <w:right w:val="nil"/>
            </w:tcBorders>
            <w:shd w:val="clear" w:color="000000" w:fill="FFFFFF"/>
            <w:noWrap/>
            <w:vAlign w:val="bottom"/>
            <w:hideMark/>
          </w:tcPr>
          <w:p w:rsidR="00991C20" w:rsidRPr="00D440C9" w:rsidRDefault="00991C20" w:rsidP="00991C20">
            <w:pPr>
              <w:jc w:val="cente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418" w:type="dxa"/>
            <w:tcBorders>
              <w:top w:val="nil"/>
              <w:left w:val="nil"/>
              <w:bottom w:val="single" w:sz="8" w:space="0" w:color="auto"/>
              <w:right w:val="nil"/>
            </w:tcBorders>
            <w:shd w:val="clear" w:color="auto" w:fill="auto"/>
            <w:noWrap/>
            <w:vAlign w:val="bottom"/>
            <w:hideMark/>
          </w:tcPr>
          <w:p w:rsidR="00991C20" w:rsidRPr="00D440C9" w:rsidRDefault="00991C20"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£'000</w:t>
            </w:r>
          </w:p>
        </w:tc>
        <w:tc>
          <w:tcPr>
            <w:tcW w:w="1413" w:type="dxa"/>
            <w:tcBorders>
              <w:top w:val="nil"/>
              <w:left w:val="nil"/>
              <w:bottom w:val="single" w:sz="8" w:space="0" w:color="auto"/>
              <w:right w:val="nil"/>
            </w:tcBorders>
            <w:shd w:val="clear" w:color="auto" w:fill="auto"/>
            <w:noWrap/>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£'000</w:t>
            </w:r>
          </w:p>
        </w:tc>
      </w:tr>
      <w:tr w:rsidR="00991C20" w:rsidRPr="00D440C9" w:rsidTr="00991C20">
        <w:trPr>
          <w:trHeight w:val="240"/>
        </w:trPr>
        <w:tc>
          <w:tcPr>
            <w:tcW w:w="5103" w:type="dxa"/>
            <w:tcBorders>
              <w:top w:val="nil"/>
              <w:left w:val="nil"/>
              <w:bottom w:val="nil"/>
              <w:right w:val="nil"/>
            </w:tcBorders>
            <w:shd w:val="clear" w:color="000000" w:fill="FFFFFF"/>
            <w:noWrap/>
            <w:vAlign w:val="bottom"/>
            <w:hideMark/>
          </w:tcPr>
          <w:p w:rsidR="00991C20" w:rsidRPr="00D440C9" w:rsidRDefault="00991C20"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706" w:type="dxa"/>
            <w:tcBorders>
              <w:top w:val="nil"/>
              <w:left w:val="nil"/>
              <w:bottom w:val="nil"/>
              <w:right w:val="nil"/>
            </w:tcBorders>
            <w:shd w:val="clear" w:color="000000" w:fill="FFFFFF"/>
            <w:noWrap/>
            <w:vAlign w:val="bottom"/>
            <w:hideMark/>
          </w:tcPr>
          <w:p w:rsidR="00991C20" w:rsidRPr="00D440C9" w:rsidRDefault="00991C20" w:rsidP="00991C20">
            <w:pPr>
              <w:jc w:val="center"/>
              <w:rPr>
                <w:rFonts w:ascii="Arial" w:hAnsi="Arial" w:cs="Arial"/>
                <w:sz w:val="18"/>
                <w:szCs w:val="18"/>
                <w:lang w:val="en-GB" w:eastAsia="en-GB"/>
              </w:rPr>
            </w:pPr>
            <w:r w:rsidRPr="00D440C9">
              <w:rPr>
                <w:rFonts w:ascii="Arial" w:hAnsi="Arial" w:cs="Arial"/>
                <w:sz w:val="18"/>
                <w:szCs w:val="18"/>
                <w:lang w:val="en-GB" w:eastAsia="en-GB"/>
              </w:rPr>
              <w:t> </w:t>
            </w:r>
          </w:p>
        </w:tc>
        <w:tc>
          <w:tcPr>
            <w:tcW w:w="570" w:type="dxa"/>
            <w:tcBorders>
              <w:top w:val="nil"/>
              <w:left w:val="nil"/>
              <w:bottom w:val="nil"/>
              <w:right w:val="nil"/>
            </w:tcBorders>
            <w:shd w:val="clear" w:color="000000" w:fill="FFFFFF"/>
            <w:noWrap/>
            <w:vAlign w:val="bottom"/>
            <w:hideMark/>
          </w:tcPr>
          <w:p w:rsidR="00991C20" w:rsidRPr="00D440C9" w:rsidRDefault="00991C20"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425" w:type="dxa"/>
            <w:tcBorders>
              <w:top w:val="nil"/>
              <w:left w:val="nil"/>
              <w:bottom w:val="nil"/>
              <w:right w:val="nil"/>
            </w:tcBorders>
            <w:shd w:val="clear" w:color="000000" w:fill="FFFFFF"/>
            <w:noWrap/>
            <w:vAlign w:val="bottom"/>
            <w:hideMark/>
          </w:tcPr>
          <w:p w:rsidR="00991C20" w:rsidRPr="00D440C9" w:rsidRDefault="00991C20"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418" w:type="dxa"/>
            <w:tcBorders>
              <w:top w:val="nil"/>
              <w:left w:val="nil"/>
              <w:bottom w:val="nil"/>
              <w:right w:val="nil"/>
            </w:tcBorders>
            <w:shd w:val="clear" w:color="000000" w:fill="FFFFFF"/>
            <w:noWrap/>
            <w:vAlign w:val="bottom"/>
            <w:hideMark/>
          </w:tcPr>
          <w:p w:rsidR="00991C20" w:rsidRPr="00D440C9" w:rsidRDefault="00991C20"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413" w:type="dxa"/>
            <w:tcBorders>
              <w:top w:val="nil"/>
              <w:left w:val="nil"/>
              <w:bottom w:val="nil"/>
              <w:right w:val="nil"/>
            </w:tcBorders>
            <w:shd w:val="clear" w:color="000000" w:fill="FFFFFF"/>
            <w:noWrap/>
            <w:vAlign w:val="bottom"/>
            <w:hideMark/>
          </w:tcPr>
          <w:p w:rsidR="00991C20" w:rsidRPr="00D440C9" w:rsidRDefault="00991C20" w:rsidP="00991C20">
            <w:pPr>
              <w:rPr>
                <w:rFonts w:ascii="Arial" w:hAnsi="Arial" w:cs="Arial"/>
                <w:sz w:val="18"/>
                <w:szCs w:val="18"/>
                <w:lang w:val="en-GB" w:eastAsia="en-GB"/>
              </w:rPr>
            </w:pPr>
            <w:r w:rsidRPr="00D440C9">
              <w:rPr>
                <w:rFonts w:ascii="Arial" w:hAnsi="Arial" w:cs="Arial"/>
                <w:sz w:val="18"/>
                <w:szCs w:val="18"/>
                <w:lang w:val="en-GB" w:eastAsia="en-GB"/>
              </w:rPr>
              <w:t> </w:t>
            </w:r>
          </w:p>
        </w:tc>
      </w:tr>
      <w:tr w:rsidR="00C95EDA" w:rsidRPr="00D440C9" w:rsidTr="00991C20">
        <w:trPr>
          <w:trHeight w:val="240"/>
        </w:trPr>
        <w:tc>
          <w:tcPr>
            <w:tcW w:w="5103" w:type="dxa"/>
            <w:tcBorders>
              <w:top w:val="nil"/>
              <w:left w:val="nil"/>
              <w:bottom w:val="nil"/>
              <w:right w:val="nil"/>
            </w:tcBorders>
            <w:shd w:val="clear" w:color="000000" w:fill="FFFFFF"/>
            <w:noWrap/>
            <w:vAlign w:val="bottom"/>
            <w:hideMark/>
          </w:tcPr>
          <w:p w:rsidR="00C95EDA" w:rsidRPr="00D440C9" w:rsidRDefault="00C95EDA" w:rsidP="0023431A">
            <w:pPr>
              <w:rPr>
                <w:rFonts w:ascii="Arial" w:hAnsi="Arial" w:cs="Arial"/>
                <w:b/>
                <w:bCs/>
                <w:sz w:val="18"/>
                <w:szCs w:val="18"/>
                <w:lang w:val="en-GB" w:eastAsia="en-GB"/>
              </w:rPr>
            </w:pPr>
            <w:r w:rsidRPr="00D440C9">
              <w:rPr>
                <w:rFonts w:ascii="Arial" w:hAnsi="Arial" w:cs="Arial"/>
                <w:b/>
                <w:bCs/>
                <w:sz w:val="18"/>
                <w:szCs w:val="18"/>
                <w:lang w:val="en-GB" w:eastAsia="en-GB"/>
              </w:rPr>
              <w:t xml:space="preserve">Profit for the </w:t>
            </w:r>
            <w:r>
              <w:rPr>
                <w:rFonts w:ascii="Arial" w:hAnsi="Arial" w:cs="Arial"/>
                <w:b/>
                <w:bCs/>
                <w:sz w:val="18"/>
                <w:szCs w:val="18"/>
                <w:lang w:val="en-GB" w:eastAsia="en-GB"/>
              </w:rPr>
              <w:t>year</w:t>
            </w:r>
          </w:p>
        </w:tc>
        <w:tc>
          <w:tcPr>
            <w:tcW w:w="706" w:type="dxa"/>
            <w:tcBorders>
              <w:top w:val="nil"/>
              <w:left w:val="nil"/>
              <w:bottom w:val="nil"/>
              <w:right w:val="nil"/>
            </w:tcBorders>
            <w:shd w:val="clear" w:color="000000" w:fill="FFFFFF"/>
            <w:noWrap/>
            <w:vAlign w:val="bottom"/>
            <w:hideMark/>
          </w:tcPr>
          <w:p w:rsidR="00C95EDA" w:rsidRPr="00D440C9" w:rsidRDefault="00C95EDA" w:rsidP="00991C20">
            <w:pPr>
              <w:jc w:val="center"/>
              <w:rPr>
                <w:rFonts w:ascii="Arial" w:hAnsi="Arial" w:cs="Arial"/>
                <w:sz w:val="18"/>
                <w:szCs w:val="18"/>
                <w:lang w:val="en-GB" w:eastAsia="en-GB"/>
              </w:rPr>
            </w:pPr>
            <w:r w:rsidRPr="00D440C9">
              <w:rPr>
                <w:rFonts w:ascii="Arial" w:hAnsi="Arial" w:cs="Arial"/>
                <w:sz w:val="18"/>
                <w:szCs w:val="18"/>
                <w:lang w:val="en-GB" w:eastAsia="en-GB"/>
              </w:rPr>
              <w:t> </w:t>
            </w:r>
          </w:p>
        </w:tc>
        <w:tc>
          <w:tcPr>
            <w:tcW w:w="57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425"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6,849</w:t>
            </w:r>
          </w:p>
        </w:tc>
        <w:tc>
          <w:tcPr>
            <w:tcW w:w="1413"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6,902</w:t>
            </w:r>
          </w:p>
        </w:tc>
      </w:tr>
      <w:tr w:rsidR="00C95EDA" w:rsidRPr="00D440C9" w:rsidTr="00991C20">
        <w:trPr>
          <w:trHeight w:val="240"/>
        </w:trPr>
        <w:tc>
          <w:tcPr>
            <w:tcW w:w="5103" w:type="dxa"/>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Other comprehensive income / (expense)</w:t>
            </w:r>
          </w:p>
        </w:tc>
        <w:tc>
          <w:tcPr>
            <w:tcW w:w="706" w:type="dxa"/>
            <w:tcBorders>
              <w:top w:val="nil"/>
              <w:left w:val="nil"/>
              <w:bottom w:val="nil"/>
              <w:right w:val="nil"/>
            </w:tcBorders>
            <w:shd w:val="clear" w:color="000000" w:fill="FFFFFF"/>
            <w:noWrap/>
            <w:vAlign w:val="bottom"/>
            <w:hideMark/>
          </w:tcPr>
          <w:p w:rsidR="00C95EDA" w:rsidRPr="00D440C9" w:rsidRDefault="00C95EDA" w:rsidP="00991C20">
            <w:pPr>
              <w:jc w:val="center"/>
              <w:rPr>
                <w:rFonts w:ascii="Arial" w:hAnsi="Arial" w:cs="Arial"/>
                <w:sz w:val="18"/>
                <w:szCs w:val="18"/>
                <w:lang w:val="en-GB" w:eastAsia="en-GB"/>
              </w:rPr>
            </w:pPr>
            <w:r w:rsidRPr="00D440C9">
              <w:rPr>
                <w:rFonts w:ascii="Arial" w:hAnsi="Arial" w:cs="Arial"/>
                <w:sz w:val="18"/>
                <w:szCs w:val="18"/>
                <w:lang w:val="en-GB" w:eastAsia="en-GB"/>
              </w:rPr>
              <w:t> </w:t>
            </w:r>
          </w:p>
        </w:tc>
        <w:tc>
          <w:tcPr>
            <w:tcW w:w="57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425"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rPr>
                <w:rFonts w:ascii="Arial" w:hAnsi="Arial" w:cs="Arial"/>
                <w:b/>
                <w:bCs/>
                <w:sz w:val="18"/>
                <w:szCs w:val="18"/>
              </w:rPr>
            </w:pPr>
          </w:p>
        </w:tc>
        <w:tc>
          <w:tcPr>
            <w:tcW w:w="1413"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p>
        </w:tc>
      </w:tr>
      <w:tr w:rsidR="00C95EDA" w:rsidRPr="00D440C9" w:rsidTr="00991C20">
        <w:trPr>
          <w:trHeight w:val="240"/>
        </w:trPr>
        <w:tc>
          <w:tcPr>
            <w:tcW w:w="5809" w:type="dxa"/>
            <w:gridSpan w:val="2"/>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Foreign exchange differences on retranslation of foreign operations</w:t>
            </w:r>
          </w:p>
        </w:tc>
        <w:tc>
          <w:tcPr>
            <w:tcW w:w="57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425"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Pr="00D440C9" w:rsidRDefault="00FD4870" w:rsidP="00DA2F82">
            <w:pPr>
              <w:jc w:val="right"/>
              <w:rPr>
                <w:rFonts w:ascii="Arial" w:hAnsi="Arial" w:cs="Arial"/>
                <w:b/>
                <w:bCs/>
                <w:sz w:val="18"/>
                <w:szCs w:val="18"/>
                <w:lang w:val="en-GB" w:eastAsia="en-GB"/>
              </w:rPr>
            </w:pPr>
            <w:r>
              <w:rPr>
                <w:rFonts w:ascii="Arial" w:hAnsi="Arial" w:cs="Arial"/>
                <w:b/>
                <w:bCs/>
                <w:sz w:val="18"/>
                <w:szCs w:val="18"/>
                <w:lang w:val="en-GB" w:eastAsia="en-GB"/>
              </w:rPr>
              <w:t>1,1</w:t>
            </w:r>
            <w:r w:rsidR="00DA2F82">
              <w:rPr>
                <w:rFonts w:ascii="Arial" w:hAnsi="Arial" w:cs="Arial"/>
                <w:b/>
                <w:bCs/>
                <w:sz w:val="18"/>
                <w:szCs w:val="18"/>
                <w:lang w:val="en-GB" w:eastAsia="en-GB"/>
              </w:rPr>
              <w:t>31</w:t>
            </w:r>
          </w:p>
        </w:tc>
        <w:tc>
          <w:tcPr>
            <w:tcW w:w="1413" w:type="dxa"/>
            <w:tcBorders>
              <w:top w:val="nil"/>
              <w:left w:val="nil"/>
              <w:bottom w:val="nil"/>
              <w:right w:val="nil"/>
            </w:tcBorders>
            <w:shd w:val="clear" w:color="auto" w:fill="auto"/>
            <w:noWrap/>
            <w:vAlign w:val="bottom"/>
            <w:hideMark/>
          </w:tcPr>
          <w:p w:rsidR="00C95EDA" w:rsidRPr="00DA2F82" w:rsidRDefault="00DA2F82" w:rsidP="00C95EDA">
            <w:pPr>
              <w:jc w:val="right"/>
              <w:rPr>
                <w:rFonts w:ascii="Arial" w:hAnsi="Arial" w:cs="Arial"/>
                <w:bCs/>
                <w:sz w:val="18"/>
                <w:szCs w:val="18"/>
              </w:rPr>
            </w:pPr>
            <w:r w:rsidRPr="00DA2F82">
              <w:rPr>
                <w:rFonts w:ascii="Arial" w:hAnsi="Arial" w:cs="Arial"/>
                <w:bCs/>
                <w:sz w:val="18"/>
                <w:szCs w:val="18"/>
              </w:rPr>
              <w:t>341</w:t>
            </w:r>
          </w:p>
        </w:tc>
      </w:tr>
      <w:tr w:rsidR="00C95EDA" w:rsidRPr="00D440C9" w:rsidTr="00991C20">
        <w:trPr>
          <w:trHeight w:val="240"/>
        </w:trPr>
        <w:tc>
          <w:tcPr>
            <w:tcW w:w="5103" w:type="dxa"/>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Cash flow hedges - net of tax</w:t>
            </w:r>
          </w:p>
        </w:tc>
        <w:tc>
          <w:tcPr>
            <w:tcW w:w="706" w:type="dxa"/>
            <w:tcBorders>
              <w:top w:val="nil"/>
              <w:left w:val="nil"/>
              <w:bottom w:val="nil"/>
              <w:right w:val="nil"/>
            </w:tcBorders>
            <w:shd w:val="clear" w:color="000000" w:fill="FFFFFF"/>
            <w:noWrap/>
            <w:vAlign w:val="bottom"/>
            <w:hideMark/>
          </w:tcPr>
          <w:p w:rsidR="00C95EDA" w:rsidRPr="00D440C9" w:rsidRDefault="00C95EDA" w:rsidP="00991C20">
            <w:pPr>
              <w:jc w:val="center"/>
              <w:rPr>
                <w:rFonts w:ascii="Arial" w:hAnsi="Arial" w:cs="Arial"/>
                <w:sz w:val="18"/>
                <w:szCs w:val="18"/>
                <w:lang w:val="en-GB" w:eastAsia="en-GB"/>
              </w:rPr>
            </w:pPr>
            <w:r w:rsidRPr="00D440C9">
              <w:rPr>
                <w:rFonts w:ascii="Arial" w:hAnsi="Arial" w:cs="Arial"/>
                <w:sz w:val="18"/>
                <w:szCs w:val="18"/>
                <w:lang w:val="en-GB" w:eastAsia="en-GB"/>
              </w:rPr>
              <w:t> </w:t>
            </w:r>
          </w:p>
        </w:tc>
        <w:tc>
          <w:tcPr>
            <w:tcW w:w="57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425"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(165)</w:t>
            </w:r>
          </w:p>
        </w:tc>
        <w:tc>
          <w:tcPr>
            <w:tcW w:w="1413"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(70)</w:t>
            </w:r>
          </w:p>
        </w:tc>
      </w:tr>
      <w:tr w:rsidR="00C95EDA" w:rsidRPr="00D440C9" w:rsidTr="00991C20">
        <w:trPr>
          <w:trHeight w:val="240"/>
        </w:trPr>
        <w:tc>
          <w:tcPr>
            <w:tcW w:w="5103" w:type="dxa"/>
            <w:tcBorders>
              <w:top w:val="nil"/>
              <w:left w:val="nil"/>
              <w:bottom w:val="single" w:sz="4" w:space="0" w:color="auto"/>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706" w:type="dxa"/>
            <w:tcBorders>
              <w:top w:val="nil"/>
              <w:left w:val="nil"/>
              <w:bottom w:val="single" w:sz="4" w:space="0" w:color="auto"/>
              <w:right w:val="nil"/>
            </w:tcBorders>
            <w:shd w:val="clear" w:color="000000" w:fill="FFFFFF"/>
            <w:noWrap/>
            <w:vAlign w:val="bottom"/>
            <w:hideMark/>
          </w:tcPr>
          <w:p w:rsidR="00C95EDA" w:rsidRPr="00D440C9" w:rsidRDefault="00C95EDA" w:rsidP="00991C20">
            <w:pPr>
              <w:jc w:val="center"/>
              <w:rPr>
                <w:rFonts w:ascii="Arial" w:hAnsi="Arial" w:cs="Arial"/>
                <w:sz w:val="18"/>
                <w:szCs w:val="18"/>
                <w:lang w:val="en-GB" w:eastAsia="en-GB"/>
              </w:rPr>
            </w:pPr>
            <w:r w:rsidRPr="00D440C9">
              <w:rPr>
                <w:rFonts w:ascii="Arial" w:hAnsi="Arial" w:cs="Arial"/>
                <w:sz w:val="18"/>
                <w:szCs w:val="18"/>
                <w:lang w:val="en-GB" w:eastAsia="en-GB"/>
              </w:rPr>
              <w:t> </w:t>
            </w:r>
          </w:p>
        </w:tc>
        <w:tc>
          <w:tcPr>
            <w:tcW w:w="570"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425"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418" w:type="dxa"/>
            <w:tcBorders>
              <w:top w:val="nil"/>
              <w:left w:val="nil"/>
              <w:bottom w:val="single" w:sz="4" w:space="0" w:color="auto"/>
              <w:right w:val="nil"/>
            </w:tcBorders>
            <w:shd w:val="clear" w:color="auto" w:fill="auto"/>
            <w:noWrap/>
            <w:vAlign w:val="bottom"/>
            <w:hideMark/>
          </w:tcPr>
          <w:p w:rsidR="00C95EDA" w:rsidRDefault="00C95EDA" w:rsidP="00C95EDA">
            <w:pPr>
              <w:rPr>
                <w:rFonts w:ascii="Arial" w:hAnsi="Arial" w:cs="Arial"/>
                <w:b/>
                <w:bCs/>
                <w:sz w:val="18"/>
                <w:szCs w:val="18"/>
              </w:rPr>
            </w:pPr>
            <w:r>
              <w:rPr>
                <w:rFonts w:ascii="Arial" w:hAnsi="Arial" w:cs="Arial"/>
                <w:b/>
                <w:bCs/>
                <w:sz w:val="18"/>
                <w:szCs w:val="18"/>
              </w:rPr>
              <w:t> </w:t>
            </w:r>
          </w:p>
        </w:tc>
        <w:tc>
          <w:tcPr>
            <w:tcW w:w="1413" w:type="dxa"/>
            <w:tcBorders>
              <w:top w:val="nil"/>
              <w:left w:val="nil"/>
              <w:bottom w:val="single" w:sz="4" w:space="0" w:color="auto"/>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r w:rsidRPr="00C95EDA">
              <w:rPr>
                <w:rFonts w:ascii="Arial" w:hAnsi="Arial" w:cs="Arial"/>
                <w:bCs/>
                <w:sz w:val="18"/>
                <w:szCs w:val="18"/>
                <w:lang w:val="en-GB"/>
              </w:rPr>
              <w:t> </w:t>
            </w:r>
          </w:p>
        </w:tc>
      </w:tr>
      <w:tr w:rsidR="00C95EDA" w:rsidRPr="00D440C9" w:rsidTr="00991C20">
        <w:trPr>
          <w:trHeight w:val="255"/>
        </w:trPr>
        <w:tc>
          <w:tcPr>
            <w:tcW w:w="5103" w:type="dxa"/>
            <w:tcBorders>
              <w:top w:val="nil"/>
              <w:left w:val="nil"/>
              <w:bottom w:val="single" w:sz="8" w:space="0" w:color="auto"/>
              <w:right w:val="nil"/>
            </w:tcBorders>
            <w:shd w:val="clear" w:color="000000" w:fill="FFFFFF"/>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 xml:space="preserve">Total comprehensive income for the </w:t>
            </w:r>
            <w:r>
              <w:rPr>
                <w:rFonts w:ascii="Arial" w:hAnsi="Arial" w:cs="Arial"/>
                <w:b/>
                <w:bCs/>
                <w:sz w:val="18"/>
                <w:szCs w:val="18"/>
                <w:lang w:val="en-GB" w:eastAsia="en-GB"/>
              </w:rPr>
              <w:t>year</w:t>
            </w:r>
          </w:p>
        </w:tc>
        <w:tc>
          <w:tcPr>
            <w:tcW w:w="706" w:type="dxa"/>
            <w:tcBorders>
              <w:top w:val="nil"/>
              <w:left w:val="nil"/>
              <w:bottom w:val="single" w:sz="8" w:space="0" w:color="auto"/>
              <w:right w:val="nil"/>
            </w:tcBorders>
            <w:shd w:val="clear" w:color="000000" w:fill="FFFFFF"/>
            <w:noWrap/>
            <w:vAlign w:val="bottom"/>
            <w:hideMark/>
          </w:tcPr>
          <w:p w:rsidR="00C95EDA" w:rsidRPr="00D440C9" w:rsidRDefault="00C95EDA" w:rsidP="00991C20">
            <w:pPr>
              <w:jc w:val="right"/>
              <w:rPr>
                <w:rFonts w:ascii="Arial" w:hAnsi="Arial" w:cs="Arial"/>
                <w:sz w:val="18"/>
                <w:szCs w:val="18"/>
                <w:lang w:val="en-GB" w:eastAsia="en-GB"/>
              </w:rPr>
            </w:pPr>
            <w:r w:rsidRPr="00D440C9">
              <w:rPr>
                <w:rFonts w:ascii="Arial" w:hAnsi="Arial" w:cs="Arial"/>
                <w:sz w:val="18"/>
                <w:szCs w:val="18"/>
                <w:lang w:val="en-GB" w:eastAsia="en-GB"/>
              </w:rPr>
              <w:t> </w:t>
            </w:r>
          </w:p>
        </w:tc>
        <w:tc>
          <w:tcPr>
            <w:tcW w:w="570" w:type="dxa"/>
            <w:tcBorders>
              <w:top w:val="nil"/>
              <w:left w:val="nil"/>
              <w:bottom w:val="single" w:sz="8"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425" w:type="dxa"/>
            <w:tcBorders>
              <w:top w:val="nil"/>
              <w:left w:val="nil"/>
              <w:bottom w:val="single" w:sz="8"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418" w:type="dxa"/>
            <w:tcBorders>
              <w:top w:val="nil"/>
              <w:left w:val="nil"/>
              <w:bottom w:val="single" w:sz="8" w:space="0" w:color="auto"/>
              <w:right w:val="nil"/>
            </w:tcBorders>
            <w:shd w:val="clear" w:color="auto" w:fill="auto"/>
            <w:noWrap/>
            <w:vAlign w:val="bottom"/>
            <w:hideMark/>
          </w:tcPr>
          <w:p w:rsidR="00C95EDA" w:rsidRDefault="00DA2F82" w:rsidP="00C95EDA">
            <w:pPr>
              <w:jc w:val="right"/>
              <w:rPr>
                <w:rFonts w:ascii="Arial" w:hAnsi="Arial" w:cs="Arial"/>
                <w:b/>
                <w:bCs/>
                <w:sz w:val="18"/>
                <w:szCs w:val="18"/>
              </w:rPr>
            </w:pPr>
            <w:r>
              <w:rPr>
                <w:rFonts w:ascii="Arial" w:hAnsi="Arial" w:cs="Arial"/>
                <w:b/>
                <w:bCs/>
                <w:sz w:val="18"/>
                <w:szCs w:val="18"/>
              </w:rPr>
              <w:t>7,815</w:t>
            </w:r>
          </w:p>
        </w:tc>
        <w:tc>
          <w:tcPr>
            <w:tcW w:w="1413" w:type="dxa"/>
            <w:tcBorders>
              <w:top w:val="nil"/>
              <w:left w:val="nil"/>
              <w:bottom w:val="single" w:sz="8" w:space="0" w:color="auto"/>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7,173</w:t>
            </w:r>
          </w:p>
        </w:tc>
      </w:tr>
      <w:tr w:rsidR="00C95EDA" w:rsidRPr="00D440C9" w:rsidTr="00991C20">
        <w:trPr>
          <w:trHeight w:val="240"/>
        </w:trPr>
        <w:tc>
          <w:tcPr>
            <w:tcW w:w="5103" w:type="dxa"/>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706" w:type="dxa"/>
            <w:tcBorders>
              <w:top w:val="nil"/>
              <w:left w:val="nil"/>
              <w:bottom w:val="nil"/>
              <w:right w:val="nil"/>
            </w:tcBorders>
            <w:shd w:val="clear" w:color="000000" w:fill="FFFFFF"/>
            <w:noWrap/>
            <w:vAlign w:val="bottom"/>
            <w:hideMark/>
          </w:tcPr>
          <w:p w:rsidR="00C95EDA" w:rsidRPr="00D440C9" w:rsidRDefault="00C95EDA" w:rsidP="00991C20">
            <w:pPr>
              <w:jc w:val="right"/>
              <w:rPr>
                <w:rFonts w:ascii="Arial" w:hAnsi="Arial" w:cs="Arial"/>
                <w:sz w:val="18"/>
                <w:szCs w:val="18"/>
                <w:lang w:val="en-GB" w:eastAsia="en-GB"/>
              </w:rPr>
            </w:pPr>
            <w:r w:rsidRPr="00D440C9">
              <w:rPr>
                <w:rFonts w:ascii="Arial" w:hAnsi="Arial" w:cs="Arial"/>
                <w:sz w:val="18"/>
                <w:szCs w:val="18"/>
                <w:lang w:val="en-GB" w:eastAsia="en-GB"/>
              </w:rPr>
              <w:t> </w:t>
            </w:r>
          </w:p>
        </w:tc>
        <w:tc>
          <w:tcPr>
            <w:tcW w:w="57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425"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rPr>
                <w:rFonts w:ascii="Arial" w:hAnsi="Arial" w:cs="Arial"/>
                <w:b/>
                <w:bCs/>
                <w:sz w:val="18"/>
                <w:szCs w:val="18"/>
              </w:rPr>
            </w:pPr>
          </w:p>
        </w:tc>
        <w:tc>
          <w:tcPr>
            <w:tcW w:w="1413"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p>
        </w:tc>
      </w:tr>
      <w:tr w:rsidR="00C95EDA" w:rsidRPr="00D440C9" w:rsidTr="00991C20">
        <w:trPr>
          <w:trHeight w:val="240"/>
        </w:trPr>
        <w:tc>
          <w:tcPr>
            <w:tcW w:w="5103" w:type="dxa"/>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Attributable to:</w:t>
            </w:r>
          </w:p>
        </w:tc>
        <w:tc>
          <w:tcPr>
            <w:tcW w:w="706" w:type="dxa"/>
            <w:tcBorders>
              <w:top w:val="nil"/>
              <w:left w:val="nil"/>
              <w:bottom w:val="nil"/>
              <w:right w:val="nil"/>
            </w:tcBorders>
            <w:shd w:val="clear" w:color="000000" w:fill="FFFFFF"/>
            <w:noWrap/>
            <w:vAlign w:val="bottom"/>
            <w:hideMark/>
          </w:tcPr>
          <w:p w:rsidR="00C95EDA" w:rsidRPr="00D440C9" w:rsidRDefault="00C95EDA" w:rsidP="00991C20">
            <w:pPr>
              <w:jc w:val="right"/>
              <w:rPr>
                <w:rFonts w:ascii="Arial" w:hAnsi="Arial" w:cs="Arial"/>
                <w:sz w:val="18"/>
                <w:szCs w:val="18"/>
                <w:lang w:val="en-GB" w:eastAsia="en-GB"/>
              </w:rPr>
            </w:pPr>
            <w:r w:rsidRPr="00D440C9">
              <w:rPr>
                <w:rFonts w:ascii="Arial" w:hAnsi="Arial" w:cs="Arial"/>
                <w:sz w:val="18"/>
                <w:szCs w:val="18"/>
                <w:lang w:val="en-GB" w:eastAsia="en-GB"/>
              </w:rPr>
              <w:t> </w:t>
            </w:r>
          </w:p>
        </w:tc>
        <w:tc>
          <w:tcPr>
            <w:tcW w:w="57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425"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rPr>
                <w:rFonts w:ascii="Arial" w:hAnsi="Arial" w:cs="Arial"/>
                <w:b/>
                <w:bCs/>
                <w:sz w:val="18"/>
                <w:szCs w:val="18"/>
              </w:rPr>
            </w:pPr>
          </w:p>
        </w:tc>
        <w:tc>
          <w:tcPr>
            <w:tcW w:w="1413"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p>
        </w:tc>
      </w:tr>
      <w:tr w:rsidR="00C95EDA" w:rsidRPr="00D440C9" w:rsidTr="00991C20">
        <w:trPr>
          <w:trHeight w:val="240"/>
        </w:trPr>
        <w:tc>
          <w:tcPr>
            <w:tcW w:w="5103" w:type="dxa"/>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Equity holders of the parent</w:t>
            </w:r>
          </w:p>
        </w:tc>
        <w:tc>
          <w:tcPr>
            <w:tcW w:w="706" w:type="dxa"/>
            <w:tcBorders>
              <w:top w:val="nil"/>
              <w:left w:val="nil"/>
              <w:bottom w:val="nil"/>
              <w:right w:val="nil"/>
            </w:tcBorders>
            <w:shd w:val="clear" w:color="000000" w:fill="FFFFFF"/>
            <w:noWrap/>
            <w:vAlign w:val="bottom"/>
            <w:hideMark/>
          </w:tcPr>
          <w:p w:rsidR="00C95EDA" w:rsidRPr="00D440C9" w:rsidRDefault="00C95EDA" w:rsidP="00991C20">
            <w:pPr>
              <w:jc w:val="right"/>
              <w:rPr>
                <w:rFonts w:ascii="Arial" w:hAnsi="Arial" w:cs="Arial"/>
                <w:sz w:val="18"/>
                <w:szCs w:val="18"/>
                <w:lang w:val="en-GB" w:eastAsia="en-GB"/>
              </w:rPr>
            </w:pPr>
            <w:r w:rsidRPr="00D440C9">
              <w:rPr>
                <w:rFonts w:ascii="Arial" w:hAnsi="Arial" w:cs="Arial"/>
                <w:sz w:val="18"/>
                <w:szCs w:val="18"/>
                <w:lang w:val="en-GB" w:eastAsia="en-GB"/>
              </w:rPr>
              <w:t> </w:t>
            </w:r>
          </w:p>
        </w:tc>
        <w:tc>
          <w:tcPr>
            <w:tcW w:w="57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425"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DA2F82" w:rsidP="00C95EDA">
            <w:pPr>
              <w:jc w:val="right"/>
              <w:rPr>
                <w:rFonts w:ascii="Arial" w:hAnsi="Arial" w:cs="Arial"/>
                <w:b/>
                <w:bCs/>
                <w:sz w:val="18"/>
                <w:szCs w:val="18"/>
              </w:rPr>
            </w:pPr>
            <w:r>
              <w:rPr>
                <w:rFonts w:ascii="Arial" w:hAnsi="Arial" w:cs="Arial"/>
                <w:b/>
                <w:bCs/>
                <w:sz w:val="18"/>
                <w:szCs w:val="18"/>
              </w:rPr>
              <w:t>7,790</w:t>
            </w:r>
          </w:p>
        </w:tc>
        <w:tc>
          <w:tcPr>
            <w:tcW w:w="1413"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7,112</w:t>
            </w:r>
          </w:p>
        </w:tc>
      </w:tr>
      <w:tr w:rsidR="00C95EDA" w:rsidRPr="00D440C9" w:rsidTr="00991C20">
        <w:trPr>
          <w:trHeight w:val="240"/>
        </w:trPr>
        <w:tc>
          <w:tcPr>
            <w:tcW w:w="5103" w:type="dxa"/>
            <w:tcBorders>
              <w:top w:val="nil"/>
              <w:left w:val="nil"/>
              <w:bottom w:val="nil"/>
              <w:right w:val="nil"/>
            </w:tcBorders>
            <w:shd w:val="clear" w:color="000000" w:fill="FFFFFF"/>
            <w:noWrap/>
            <w:vAlign w:val="bottom"/>
            <w:hideMark/>
          </w:tcPr>
          <w:p w:rsidR="00C95EDA" w:rsidRPr="00D440C9" w:rsidRDefault="00C95EDA" w:rsidP="00EF429F">
            <w:pPr>
              <w:rPr>
                <w:rFonts w:ascii="Arial" w:hAnsi="Arial" w:cs="Arial"/>
                <w:sz w:val="18"/>
                <w:szCs w:val="18"/>
                <w:lang w:val="en-GB" w:eastAsia="en-GB"/>
              </w:rPr>
            </w:pPr>
            <w:r>
              <w:rPr>
                <w:rFonts w:ascii="Arial" w:hAnsi="Arial" w:cs="Arial"/>
                <w:sz w:val="18"/>
                <w:szCs w:val="18"/>
                <w:lang w:val="en-GB" w:eastAsia="en-GB"/>
              </w:rPr>
              <w:t>Non-controlling</w:t>
            </w:r>
            <w:r w:rsidRPr="00D440C9">
              <w:rPr>
                <w:rFonts w:ascii="Arial" w:hAnsi="Arial" w:cs="Arial"/>
                <w:sz w:val="18"/>
                <w:szCs w:val="18"/>
                <w:lang w:val="en-GB" w:eastAsia="en-GB"/>
              </w:rPr>
              <w:t xml:space="preserve"> interest</w:t>
            </w:r>
          </w:p>
        </w:tc>
        <w:tc>
          <w:tcPr>
            <w:tcW w:w="706" w:type="dxa"/>
            <w:tcBorders>
              <w:top w:val="nil"/>
              <w:left w:val="nil"/>
              <w:bottom w:val="nil"/>
              <w:right w:val="nil"/>
            </w:tcBorders>
            <w:shd w:val="clear" w:color="000000" w:fill="FFFFFF"/>
            <w:noWrap/>
            <w:vAlign w:val="bottom"/>
            <w:hideMark/>
          </w:tcPr>
          <w:p w:rsidR="00C95EDA" w:rsidRPr="00D440C9" w:rsidRDefault="00C95EDA" w:rsidP="00991C20">
            <w:pPr>
              <w:jc w:val="right"/>
              <w:rPr>
                <w:rFonts w:ascii="Arial" w:hAnsi="Arial" w:cs="Arial"/>
                <w:sz w:val="18"/>
                <w:szCs w:val="18"/>
                <w:lang w:val="en-GB" w:eastAsia="en-GB"/>
              </w:rPr>
            </w:pPr>
            <w:r w:rsidRPr="00D440C9">
              <w:rPr>
                <w:rFonts w:ascii="Arial" w:hAnsi="Arial" w:cs="Arial"/>
                <w:sz w:val="18"/>
                <w:szCs w:val="18"/>
                <w:lang w:val="en-GB" w:eastAsia="en-GB"/>
              </w:rPr>
              <w:t> </w:t>
            </w:r>
          </w:p>
        </w:tc>
        <w:tc>
          <w:tcPr>
            <w:tcW w:w="57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425"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25</w:t>
            </w:r>
          </w:p>
        </w:tc>
        <w:tc>
          <w:tcPr>
            <w:tcW w:w="1413"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61</w:t>
            </w:r>
          </w:p>
        </w:tc>
      </w:tr>
      <w:tr w:rsidR="00C95EDA" w:rsidRPr="00D440C9" w:rsidTr="00991C20">
        <w:trPr>
          <w:trHeight w:val="255"/>
        </w:trPr>
        <w:tc>
          <w:tcPr>
            <w:tcW w:w="5103" w:type="dxa"/>
            <w:tcBorders>
              <w:top w:val="single" w:sz="4" w:space="0" w:color="auto"/>
              <w:left w:val="nil"/>
              <w:bottom w:val="single" w:sz="8" w:space="0" w:color="auto"/>
              <w:right w:val="nil"/>
            </w:tcBorders>
            <w:shd w:val="clear" w:color="000000" w:fill="FFFFFF"/>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 xml:space="preserve">Total comprehensive income for the </w:t>
            </w:r>
            <w:r>
              <w:rPr>
                <w:rFonts w:ascii="Arial" w:hAnsi="Arial" w:cs="Arial"/>
                <w:b/>
                <w:bCs/>
                <w:sz w:val="18"/>
                <w:szCs w:val="18"/>
                <w:lang w:val="en-GB" w:eastAsia="en-GB"/>
              </w:rPr>
              <w:t>year</w:t>
            </w:r>
          </w:p>
        </w:tc>
        <w:tc>
          <w:tcPr>
            <w:tcW w:w="706" w:type="dxa"/>
            <w:tcBorders>
              <w:top w:val="single" w:sz="4" w:space="0" w:color="auto"/>
              <w:left w:val="nil"/>
              <w:bottom w:val="single" w:sz="8" w:space="0" w:color="auto"/>
              <w:right w:val="nil"/>
            </w:tcBorders>
            <w:shd w:val="clear" w:color="000000" w:fill="FFFFFF"/>
            <w:noWrap/>
            <w:vAlign w:val="bottom"/>
            <w:hideMark/>
          </w:tcPr>
          <w:p w:rsidR="00C95EDA" w:rsidRPr="00D440C9" w:rsidRDefault="00C95EDA" w:rsidP="00991C20">
            <w:pPr>
              <w:jc w:val="right"/>
              <w:rPr>
                <w:rFonts w:ascii="Arial" w:hAnsi="Arial" w:cs="Arial"/>
                <w:sz w:val="18"/>
                <w:szCs w:val="18"/>
                <w:lang w:val="en-GB" w:eastAsia="en-GB"/>
              </w:rPr>
            </w:pPr>
            <w:r w:rsidRPr="00D440C9">
              <w:rPr>
                <w:rFonts w:ascii="Arial" w:hAnsi="Arial" w:cs="Arial"/>
                <w:sz w:val="18"/>
                <w:szCs w:val="18"/>
                <w:lang w:val="en-GB" w:eastAsia="en-GB"/>
              </w:rPr>
              <w:t> </w:t>
            </w:r>
          </w:p>
        </w:tc>
        <w:tc>
          <w:tcPr>
            <w:tcW w:w="570" w:type="dxa"/>
            <w:tcBorders>
              <w:top w:val="single" w:sz="4" w:space="0" w:color="auto"/>
              <w:left w:val="nil"/>
              <w:bottom w:val="single" w:sz="8"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425" w:type="dxa"/>
            <w:tcBorders>
              <w:top w:val="single" w:sz="4" w:space="0" w:color="auto"/>
              <w:left w:val="nil"/>
              <w:bottom w:val="single" w:sz="8"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418" w:type="dxa"/>
            <w:tcBorders>
              <w:top w:val="single" w:sz="4" w:space="0" w:color="auto"/>
              <w:left w:val="nil"/>
              <w:bottom w:val="single" w:sz="8" w:space="0" w:color="auto"/>
              <w:right w:val="nil"/>
            </w:tcBorders>
            <w:shd w:val="clear" w:color="auto" w:fill="auto"/>
            <w:noWrap/>
            <w:vAlign w:val="bottom"/>
            <w:hideMark/>
          </w:tcPr>
          <w:p w:rsidR="00C95EDA" w:rsidRDefault="00DA2F82" w:rsidP="00C95EDA">
            <w:pPr>
              <w:jc w:val="right"/>
              <w:rPr>
                <w:rFonts w:ascii="Arial" w:hAnsi="Arial" w:cs="Arial"/>
                <w:b/>
                <w:bCs/>
                <w:sz w:val="18"/>
                <w:szCs w:val="18"/>
              </w:rPr>
            </w:pPr>
            <w:r>
              <w:rPr>
                <w:rFonts w:ascii="Arial" w:hAnsi="Arial" w:cs="Arial"/>
                <w:b/>
                <w:bCs/>
                <w:sz w:val="18"/>
                <w:szCs w:val="18"/>
              </w:rPr>
              <w:t>7,815</w:t>
            </w:r>
          </w:p>
        </w:tc>
        <w:tc>
          <w:tcPr>
            <w:tcW w:w="1413" w:type="dxa"/>
            <w:tcBorders>
              <w:top w:val="single" w:sz="4" w:space="0" w:color="auto"/>
              <w:left w:val="nil"/>
              <w:bottom w:val="single" w:sz="8" w:space="0" w:color="auto"/>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7,173</w:t>
            </w:r>
          </w:p>
        </w:tc>
      </w:tr>
    </w:tbl>
    <w:p w:rsidR="000433F6" w:rsidRPr="00D440C9" w:rsidRDefault="000433F6">
      <w:pPr>
        <w:pStyle w:val="HTMLPreformatted"/>
        <w:rPr>
          <w:rFonts w:ascii="Arial" w:hAnsi="Arial" w:cs="Arial"/>
          <w:b/>
          <w:bCs/>
        </w:rPr>
      </w:pPr>
      <w:r w:rsidRPr="00D440C9">
        <w:rPr>
          <w:rFonts w:ascii="Arial" w:hAnsi="Arial" w:cs="Arial"/>
          <w:b/>
          <w:bCs/>
        </w:rPr>
        <w:br w:type="page"/>
      </w:r>
      <w:r w:rsidRPr="00D440C9">
        <w:rPr>
          <w:rFonts w:ascii="Arial" w:hAnsi="Arial" w:cs="Arial"/>
          <w:b/>
          <w:bCs/>
        </w:rPr>
        <w:lastRenderedPageBreak/>
        <w:t>Braemar Shipping Services PLC</w:t>
      </w:r>
    </w:p>
    <w:p w:rsidR="000433F6" w:rsidRPr="00D440C9" w:rsidRDefault="00DA05C4">
      <w:pPr>
        <w:rPr>
          <w:rFonts w:ascii="Arial" w:hAnsi="Arial" w:cs="Arial"/>
          <w:sz w:val="16"/>
          <w:lang w:val="en-GB"/>
        </w:rPr>
      </w:pPr>
      <w:r w:rsidRPr="00DA05C4">
        <w:rPr>
          <w:rFonts w:ascii="Arial" w:hAnsi="Arial" w:cs="Arial"/>
          <w:b/>
          <w:bCs/>
          <w:lang w:val="en-GB"/>
        </w:rPr>
        <w:t>A</w:t>
      </w:r>
      <w:r w:rsidR="000E2703" w:rsidRPr="00DA05C4">
        <w:rPr>
          <w:rFonts w:ascii="Arial" w:hAnsi="Arial" w:cs="Arial"/>
          <w:b/>
          <w:bCs/>
          <w:lang w:val="en-GB"/>
        </w:rPr>
        <w:t xml:space="preserve">udited </w:t>
      </w:r>
      <w:r w:rsidR="000433F6" w:rsidRPr="00DA05C4">
        <w:rPr>
          <w:rFonts w:ascii="Arial" w:hAnsi="Arial" w:cs="Arial"/>
          <w:b/>
          <w:bCs/>
          <w:lang w:val="en-GB"/>
        </w:rPr>
        <w:t xml:space="preserve">Consolidated Balance sheet </w:t>
      </w:r>
      <w:r w:rsidR="000433F6" w:rsidRPr="00DA05C4">
        <w:rPr>
          <w:rFonts w:ascii="Arial" w:hAnsi="Arial" w:cs="Arial"/>
          <w:sz w:val="16"/>
          <w:lang w:val="en-GB"/>
        </w:rPr>
        <w:t>as at 2</w:t>
      </w:r>
      <w:r w:rsidR="00C95EDA">
        <w:rPr>
          <w:rFonts w:ascii="Arial" w:hAnsi="Arial" w:cs="Arial"/>
          <w:sz w:val="16"/>
          <w:lang w:val="en-GB"/>
        </w:rPr>
        <w:t>8</w:t>
      </w:r>
      <w:r w:rsidR="00341700" w:rsidRPr="00DA05C4">
        <w:rPr>
          <w:rFonts w:ascii="Arial" w:hAnsi="Arial" w:cs="Arial"/>
          <w:sz w:val="16"/>
          <w:lang w:val="en-GB"/>
        </w:rPr>
        <w:t xml:space="preserve"> February 20</w:t>
      </w:r>
      <w:r w:rsidR="00EB71C5" w:rsidRPr="00DA05C4">
        <w:rPr>
          <w:rFonts w:ascii="Arial" w:hAnsi="Arial" w:cs="Arial"/>
          <w:sz w:val="16"/>
          <w:lang w:val="en-GB"/>
        </w:rPr>
        <w:t>1</w:t>
      </w:r>
      <w:r w:rsidR="00C95EDA">
        <w:rPr>
          <w:rFonts w:ascii="Arial" w:hAnsi="Arial" w:cs="Arial"/>
          <w:sz w:val="16"/>
          <w:lang w:val="en-GB"/>
        </w:rPr>
        <w:t>3</w:t>
      </w:r>
    </w:p>
    <w:p w:rsidR="00B10E8F" w:rsidRPr="00D440C9" w:rsidRDefault="00B10E8F">
      <w:pPr>
        <w:rPr>
          <w:rFonts w:ascii="Arial" w:hAnsi="Arial" w:cs="Arial"/>
          <w:sz w:val="16"/>
          <w:lang w:val="en-GB"/>
        </w:rPr>
      </w:pPr>
    </w:p>
    <w:tbl>
      <w:tblPr>
        <w:tblW w:w="9639" w:type="dxa"/>
        <w:tblInd w:w="108" w:type="dxa"/>
        <w:tblLook w:val="04A0" w:firstRow="1" w:lastRow="0" w:firstColumn="1" w:lastColumn="0" w:noHBand="0" w:noVBand="1"/>
      </w:tblPr>
      <w:tblGrid>
        <w:gridCol w:w="4820"/>
        <w:gridCol w:w="1984"/>
        <w:gridCol w:w="1418"/>
        <w:gridCol w:w="1417"/>
      </w:tblGrid>
      <w:tr w:rsidR="00991C20" w:rsidRPr="00D440C9" w:rsidTr="00991C20">
        <w:trPr>
          <w:trHeight w:val="240"/>
        </w:trPr>
        <w:tc>
          <w:tcPr>
            <w:tcW w:w="4820" w:type="dxa"/>
            <w:tcBorders>
              <w:top w:val="nil"/>
              <w:left w:val="nil"/>
              <w:bottom w:val="nil"/>
              <w:right w:val="nil"/>
            </w:tcBorders>
            <w:shd w:val="clear" w:color="auto" w:fill="auto"/>
            <w:noWrap/>
            <w:vAlign w:val="bottom"/>
            <w:hideMark/>
          </w:tcPr>
          <w:p w:rsidR="00991C20" w:rsidRPr="00D440C9" w:rsidRDefault="00991C20" w:rsidP="00991C20">
            <w:pPr>
              <w:rPr>
                <w:rFonts w:ascii="Arial" w:hAnsi="Arial" w:cs="Arial"/>
                <w:b/>
                <w:bCs/>
                <w:sz w:val="18"/>
                <w:szCs w:val="18"/>
                <w:lang w:val="en-GB" w:eastAsia="en-GB"/>
              </w:rPr>
            </w:pPr>
          </w:p>
        </w:tc>
        <w:tc>
          <w:tcPr>
            <w:tcW w:w="1984" w:type="dxa"/>
            <w:tcBorders>
              <w:top w:val="nil"/>
              <w:left w:val="nil"/>
              <w:bottom w:val="nil"/>
              <w:right w:val="nil"/>
            </w:tcBorders>
            <w:shd w:val="clear" w:color="auto" w:fill="auto"/>
            <w:noWrap/>
            <w:vAlign w:val="bottom"/>
            <w:hideMark/>
          </w:tcPr>
          <w:p w:rsidR="00991C20" w:rsidRPr="00D440C9" w:rsidRDefault="00991C20"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991C20" w:rsidRPr="00D440C9" w:rsidRDefault="00991C20"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As at</w:t>
            </w:r>
          </w:p>
        </w:tc>
        <w:tc>
          <w:tcPr>
            <w:tcW w:w="1417" w:type="dxa"/>
            <w:tcBorders>
              <w:top w:val="nil"/>
              <w:left w:val="nil"/>
              <w:bottom w:val="nil"/>
              <w:right w:val="nil"/>
            </w:tcBorders>
            <w:shd w:val="clear" w:color="auto" w:fill="auto"/>
            <w:noWrap/>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As at</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Pr="00D440C9" w:rsidRDefault="00C95EDA" w:rsidP="00C95EDA">
            <w:pPr>
              <w:jc w:val="right"/>
              <w:rPr>
                <w:rFonts w:ascii="Arial" w:hAnsi="Arial" w:cs="Arial"/>
                <w:b/>
                <w:bCs/>
                <w:sz w:val="18"/>
                <w:szCs w:val="18"/>
                <w:lang w:val="en-GB" w:eastAsia="en-GB"/>
              </w:rPr>
            </w:pPr>
            <w:r w:rsidRPr="00D440C9">
              <w:rPr>
                <w:rFonts w:ascii="Arial" w:hAnsi="Arial" w:cs="Arial"/>
                <w:b/>
                <w:bCs/>
                <w:sz w:val="18"/>
                <w:szCs w:val="18"/>
                <w:lang w:val="en-GB" w:eastAsia="en-GB"/>
              </w:rPr>
              <w:t>2</w:t>
            </w:r>
            <w:r>
              <w:rPr>
                <w:rFonts w:ascii="Arial" w:hAnsi="Arial" w:cs="Arial"/>
                <w:b/>
                <w:bCs/>
                <w:sz w:val="18"/>
                <w:szCs w:val="18"/>
                <w:lang w:val="en-GB" w:eastAsia="en-GB"/>
              </w:rPr>
              <w:t>8</w:t>
            </w:r>
            <w:r w:rsidRPr="00D440C9">
              <w:rPr>
                <w:rFonts w:ascii="Arial" w:hAnsi="Arial" w:cs="Arial"/>
                <w:b/>
                <w:bCs/>
                <w:sz w:val="18"/>
                <w:szCs w:val="18"/>
                <w:lang w:val="en-GB" w:eastAsia="en-GB"/>
              </w:rPr>
              <w:t xml:space="preserve"> Feb 1</w:t>
            </w:r>
            <w:r>
              <w:rPr>
                <w:rFonts w:ascii="Arial" w:hAnsi="Arial" w:cs="Arial"/>
                <w:b/>
                <w:bCs/>
                <w:sz w:val="18"/>
                <w:szCs w:val="18"/>
                <w:lang w:val="en-GB" w:eastAsia="en-GB"/>
              </w:rPr>
              <w:t>3</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29 Feb 12</w:t>
            </w:r>
          </w:p>
        </w:tc>
      </w:tr>
      <w:tr w:rsidR="00C95EDA" w:rsidRPr="00D440C9" w:rsidTr="00991C20">
        <w:trPr>
          <w:trHeight w:val="255"/>
        </w:trPr>
        <w:tc>
          <w:tcPr>
            <w:tcW w:w="4820" w:type="dxa"/>
            <w:tcBorders>
              <w:top w:val="nil"/>
              <w:left w:val="nil"/>
              <w:bottom w:val="single" w:sz="8"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Assets</w:t>
            </w:r>
          </w:p>
        </w:tc>
        <w:tc>
          <w:tcPr>
            <w:tcW w:w="1984" w:type="dxa"/>
            <w:tcBorders>
              <w:top w:val="nil"/>
              <w:left w:val="nil"/>
              <w:bottom w:val="single" w:sz="8" w:space="0" w:color="auto"/>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single" w:sz="8" w:space="0" w:color="auto"/>
              <w:right w:val="nil"/>
            </w:tcBorders>
            <w:shd w:val="clear" w:color="auto" w:fill="auto"/>
            <w:noWrap/>
            <w:vAlign w:val="bottom"/>
            <w:hideMark/>
          </w:tcPr>
          <w:p w:rsidR="00C95EDA" w:rsidRPr="00D440C9" w:rsidRDefault="00C95EDA"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£'000</w:t>
            </w:r>
          </w:p>
        </w:tc>
        <w:tc>
          <w:tcPr>
            <w:tcW w:w="1417" w:type="dxa"/>
            <w:tcBorders>
              <w:top w:val="nil"/>
              <w:left w:val="nil"/>
              <w:bottom w:val="single" w:sz="8" w:space="0" w:color="auto"/>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£'000</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Non-current assets</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eastAsia="en-GB"/>
              </w:rPr>
            </w:pP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Goodwill</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30,547</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30,416</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B06082" w:rsidP="00991C20">
            <w:pPr>
              <w:rPr>
                <w:rFonts w:ascii="Arial" w:hAnsi="Arial" w:cs="Arial"/>
                <w:sz w:val="18"/>
                <w:szCs w:val="18"/>
                <w:lang w:val="en-GB" w:eastAsia="en-GB"/>
              </w:rPr>
            </w:pPr>
            <w:r>
              <w:rPr>
                <w:rFonts w:ascii="Arial" w:hAnsi="Arial" w:cs="Arial"/>
                <w:sz w:val="18"/>
                <w:szCs w:val="18"/>
                <w:lang w:val="en-GB" w:eastAsia="en-GB"/>
              </w:rPr>
              <w:t>I</w:t>
            </w:r>
            <w:r w:rsidR="00C95EDA" w:rsidRPr="00D440C9">
              <w:rPr>
                <w:rFonts w:ascii="Arial" w:hAnsi="Arial" w:cs="Arial"/>
                <w:sz w:val="18"/>
                <w:szCs w:val="18"/>
                <w:lang w:val="en-GB" w:eastAsia="en-GB"/>
              </w:rPr>
              <w:t>ntangible assets</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1,524</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2,630</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Property, plant and equipment</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6,165</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6,257</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Investments</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1,796</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1,895</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Deferred tax assets</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1,021</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1,665</w:t>
            </w:r>
          </w:p>
        </w:tc>
      </w:tr>
      <w:tr w:rsidR="00C95EDA" w:rsidRPr="00D440C9" w:rsidTr="00991C20">
        <w:trPr>
          <w:trHeight w:val="240"/>
        </w:trPr>
        <w:tc>
          <w:tcPr>
            <w:tcW w:w="4820"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Other long-term receivables</w:t>
            </w:r>
          </w:p>
        </w:tc>
        <w:tc>
          <w:tcPr>
            <w:tcW w:w="1984" w:type="dxa"/>
            <w:tcBorders>
              <w:top w:val="nil"/>
              <w:left w:val="nil"/>
              <w:bottom w:val="single" w:sz="4" w:space="0" w:color="auto"/>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single" w:sz="4" w:space="0" w:color="auto"/>
              <w:right w:val="nil"/>
            </w:tcBorders>
            <w:shd w:val="clear" w:color="000000"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261</w:t>
            </w:r>
          </w:p>
        </w:tc>
        <w:tc>
          <w:tcPr>
            <w:tcW w:w="1417" w:type="dxa"/>
            <w:tcBorders>
              <w:top w:val="nil"/>
              <w:left w:val="nil"/>
              <w:bottom w:val="single" w:sz="4" w:space="0" w:color="auto"/>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233</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41,314</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43,096</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Current assets</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color w:val="FF0000"/>
                <w:sz w:val="18"/>
                <w:szCs w:val="18"/>
              </w:rPr>
            </w:pPr>
          </w:p>
        </w:tc>
        <w:tc>
          <w:tcPr>
            <w:tcW w:w="141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Trade and other receivables</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44,621</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46,973</w:t>
            </w:r>
          </w:p>
        </w:tc>
      </w:tr>
      <w:tr w:rsidR="00C95EDA" w:rsidRPr="00D440C9" w:rsidTr="00C95EDA">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Derivative financial instruments</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right w:val="nil"/>
            </w:tcBorders>
            <w:shd w:val="clear" w:color="auto" w:fill="auto"/>
            <w:noWrap/>
            <w:hideMark/>
          </w:tcPr>
          <w:p w:rsidR="00C95EDA" w:rsidRPr="00FE3F6E" w:rsidRDefault="00C95EDA" w:rsidP="00C95EDA">
            <w:pPr>
              <w:pStyle w:val="03Bodynospace"/>
              <w:jc w:val="right"/>
              <w:rPr>
                <w:b/>
              </w:rPr>
            </w:pPr>
            <w:r w:rsidRPr="00FE3F6E">
              <w:rPr>
                <w:b/>
              </w:rPr>
              <w:t>–</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136</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Restricted cash</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000000"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339</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 xml:space="preserve">335  </w:t>
            </w:r>
          </w:p>
        </w:tc>
      </w:tr>
      <w:tr w:rsidR="00C95EDA" w:rsidRPr="00D440C9" w:rsidTr="00991C20">
        <w:trPr>
          <w:trHeight w:val="240"/>
        </w:trPr>
        <w:tc>
          <w:tcPr>
            <w:tcW w:w="4820"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Cash and cash equivalents</w:t>
            </w:r>
          </w:p>
        </w:tc>
        <w:tc>
          <w:tcPr>
            <w:tcW w:w="1984" w:type="dxa"/>
            <w:tcBorders>
              <w:top w:val="nil"/>
              <w:left w:val="nil"/>
              <w:bottom w:val="single" w:sz="4" w:space="0" w:color="auto"/>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single" w:sz="4" w:space="0" w:color="auto"/>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23,277</w:t>
            </w:r>
          </w:p>
        </w:tc>
        <w:tc>
          <w:tcPr>
            <w:tcW w:w="1417" w:type="dxa"/>
            <w:tcBorders>
              <w:top w:val="nil"/>
              <w:left w:val="nil"/>
              <w:bottom w:val="single" w:sz="4" w:space="0" w:color="auto"/>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17,467</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68,237</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64,911</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p>
        </w:tc>
        <w:tc>
          <w:tcPr>
            <w:tcW w:w="141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p>
        </w:tc>
      </w:tr>
      <w:tr w:rsidR="00C95EDA" w:rsidRPr="00D440C9" w:rsidTr="00991C20">
        <w:trPr>
          <w:trHeight w:val="255"/>
        </w:trPr>
        <w:tc>
          <w:tcPr>
            <w:tcW w:w="4820" w:type="dxa"/>
            <w:tcBorders>
              <w:top w:val="single" w:sz="4" w:space="0" w:color="auto"/>
              <w:left w:val="nil"/>
              <w:bottom w:val="single" w:sz="8"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Total assets</w:t>
            </w:r>
          </w:p>
        </w:tc>
        <w:tc>
          <w:tcPr>
            <w:tcW w:w="1984" w:type="dxa"/>
            <w:tcBorders>
              <w:top w:val="single" w:sz="4" w:space="0" w:color="auto"/>
              <w:left w:val="nil"/>
              <w:bottom w:val="single" w:sz="8" w:space="0" w:color="auto"/>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single" w:sz="4" w:space="0" w:color="auto"/>
              <w:left w:val="nil"/>
              <w:bottom w:val="single" w:sz="8" w:space="0" w:color="auto"/>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109,551</w:t>
            </w:r>
          </w:p>
        </w:tc>
        <w:tc>
          <w:tcPr>
            <w:tcW w:w="1417" w:type="dxa"/>
            <w:tcBorders>
              <w:top w:val="single" w:sz="4" w:space="0" w:color="auto"/>
              <w:left w:val="nil"/>
              <w:bottom w:val="single" w:sz="8" w:space="0" w:color="auto"/>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108,007</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color w:val="FF0000"/>
                <w:sz w:val="18"/>
                <w:szCs w:val="18"/>
              </w:rPr>
            </w:pPr>
          </w:p>
        </w:tc>
        <w:tc>
          <w:tcPr>
            <w:tcW w:w="141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Liabilities</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rPr>
                <w:rFonts w:ascii="Arial" w:hAnsi="Arial" w:cs="Arial"/>
                <w:b/>
                <w:bCs/>
                <w:sz w:val="18"/>
                <w:szCs w:val="18"/>
              </w:rPr>
            </w:pPr>
          </w:p>
        </w:tc>
        <w:tc>
          <w:tcPr>
            <w:tcW w:w="141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Current liabilities</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rPr>
                <w:rFonts w:ascii="Arial" w:hAnsi="Arial" w:cs="Arial"/>
                <w:b/>
                <w:bCs/>
                <w:sz w:val="18"/>
                <w:szCs w:val="18"/>
              </w:rPr>
            </w:pPr>
          </w:p>
        </w:tc>
        <w:tc>
          <w:tcPr>
            <w:tcW w:w="141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Derivative financial instruments</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94</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 xml:space="preserve">7  </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Trade and other payables</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36,249</w:t>
            </w:r>
          </w:p>
        </w:tc>
        <w:tc>
          <w:tcPr>
            <w:tcW w:w="1417" w:type="dxa"/>
            <w:tcBorders>
              <w:top w:val="nil"/>
              <w:left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36,953</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Current tax payable</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1,638</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1,674</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Provisions</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413</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345</w:t>
            </w:r>
          </w:p>
        </w:tc>
      </w:tr>
      <w:tr w:rsidR="00C95EDA" w:rsidRPr="00D440C9" w:rsidTr="00991C20">
        <w:trPr>
          <w:trHeight w:val="240"/>
        </w:trPr>
        <w:tc>
          <w:tcPr>
            <w:tcW w:w="4820"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Client monies held as escrow agent</w:t>
            </w:r>
          </w:p>
        </w:tc>
        <w:tc>
          <w:tcPr>
            <w:tcW w:w="1984" w:type="dxa"/>
            <w:tcBorders>
              <w:top w:val="nil"/>
              <w:left w:val="nil"/>
              <w:bottom w:val="single" w:sz="4" w:space="0" w:color="auto"/>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single" w:sz="4" w:space="0" w:color="auto"/>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339</w:t>
            </w:r>
          </w:p>
        </w:tc>
        <w:tc>
          <w:tcPr>
            <w:tcW w:w="1417" w:type="dxa"/>
            <w:tcBorders>
              <w:top w:val="nil"/>
              <w:left w:val="nil"/>
              <w:bottom w:val="single" w:sz="4" w:space="0" w:color="auto"/>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 xml:space="preserve">335  </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38,733</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39,314</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color w:val="FF0000"/>
                <w:sz w:val="18"/>
                <w:szCs w:val="18"/>
              </w:rPr>
            </w:pPr>
          </w:p>
        </w:tc>
        <w:tc>
          <w:tcPr>
            <w:tcW w:w="141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Non-current liabilities</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rPr>
                <w:rFonts w:ascii="Arial" w:hAnsi="Arial" w:cs="Arial"/>
                <w:b/>
                <w:bCs/>
                <w:sz w:val="18"/>
                <w:szCs w:val="18"/>
              </w:rPr>
            </w:pPr>
          </w:p>
        </w:tc>
        <w:tc>
          <w:tcPr>
            <w:tcW w:w="141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Deferred tax liabilities</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612</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1,130</w:t>
            </w:r>
          </w:p>
        </w:tc>
      </w:tr>
      <w:tr w:rsidR="00C95EDA" w:rsidRPr="00D440C9" w:rsidTr="00C95EDA">
        <w:trPr>
          <w:trHeight w:val="240"/>
        </w:trPr>
        <w:tc>
          <w:tcPr>
            <w:tcW w:w="4820" w:type="dxa"/>
            <w:tcBorders>
              <w:top w:val="nil"/>
              <w:left w:val="nil"/>
              <w:bottom w:val="nil"/>
              <w:right w:val="nil"/>
            </w:tcBorders>
            <w:shd w:val="clear" w:color="auto" w:fill="auto"/>
            <w:noWrap/>
            <w:vAlign w:val="bottom"/>
          </w:tcPr>
          <w:p w:rsidR="00C95EDA" w:rsidRPr="00D440C9" w:rsidRDefault="00C95EDA" w:rsidP="00B92C9F">
            <w:pPr>
              <w:rPr>
                <w:rFonts w:ascii="Arial" w:hAnsi="Arial" w:cs="Arial"/>
                <w:sz w:val="18"/>
                <w:szCs w:val="18"/>
                <w:lang w:val="en-GB" w:eastAsia="en-GB"/>
              </w:rPr>
            </w:pPr>
            <w:r>
              <w:rPr>
                <w:rFonts w:ascii="Arial" w:hAnsi="Arial" w:cs="Arial"/>
                <w:sz w:val="18"/>
                <w:szCs w:val="18"/>
                <w:lang w:val="en-GB" w:eastAsia="en-GB"/>
              </w:rPr>
              <w:t>Trade and other payables</w:t>
            </w:r>
          </w:p>
        </w:tc>
        <w:tc>
          <w:tcPr>
            <w:tcW w:w="1984" w:type="dxa"/>
            <w:tcBorders>
              <w:top w:val="nil"/>
              <w:left w:val="nil"/>
              <w:bottom w:val="nil"/>
              <w:right w:val="nil"/>
            </w:tcBorders>
            <w:shd w:val="clear" w:color="auto" w:fill="auto"/>
            <w:noWrap/>
            <w:vAlign w:val="bottom"/>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tcPr>
          <w:p w:rsidR="00C95EDA" w:rsidRPr="00FE3F6E" w:rsidRDefault="00C95EDA" w:rsidP="00C95EDA">
            <w:pPr>
              <w:pStyle w:val="03Bodynospace"/>
              <w:jc w:val="right"/>
              <w:rPr>
                <w:b/>
              </w:rPr>
            </w:pPr>
            <w:r w:rsidRPr="00FE3F6E">
              <w:rPr>
                <w:b/>
              </w:rPr>
              <w:t>–</w:t>
            </w:r>
          </w:p>
        </w:tc>
        <w:tc>
          <w:tcPr>
            <w:tcW w:w="1417" w:type="dxa"/>
            <w:tcBorders>
              <w:top w:val="nil"/>
              <w:left w:val="nil"/>
              <w:bottom w:val="nil"/>
              <w:right w:val="nil"/>
            </w:tcBorders>
            <w:shd w:val="clear" w:color="auto" w:fill="auto"/>
            <w:noWrap/>
            <w:vAlign w:val="bottom"/>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400</w:t>
            </w:r>
          </w:p>
        </w:tc>
      </w:tr>
      <w:tr w:rsidR="00C95EDA" w:rsidRPr="00D440C9" w:rsidTr="00991C20">
        <w:trPr>
          <w:trHeight w:val="240"/>
        </w:trPr>
        <w:tc>
          <w:tcPr>
            <w:tcW w:w="4820"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Provisions</w:t>
            </w:r>
          </w:p>
        </w:tc>
        <w:tc>
          <w:tcPr>
            <w:tcW w:w="1984" w:type="dxa"/>
            <w:tcBorders>
              <w:top w:val="nil"/>
              <w:left w:val="nil"/>
              <w:bottom w:val="single" w:sz="4" w:space="0" w:color="auto"/>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single" w:sz="4" w:space="0" w:color="auto"/>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363</w:t>
            </w:r>
          </w:p>
        </w:tc>
        <w:tc>
          <w:tcPr>
            <w:tcW w:w="1417" w:type="dxa"/>
            <w:tcBorders>
              <w:top w:val="nil"/>
              <w:left w:val="nil"/>
              <w:bottom w:val="single" w:sz="4" w:space="0" w:color="auto"/>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325</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975</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1,855</w:t>
            </w:r>
          </w:p>
        </w:tc>
      </w:tr>
      <w:tr w:rsidR="00C95EDA" w:rsidRPr="00D440C9" w:rsidTr="00991C20">
        <w:trPr>
          <w:trHeight w:val="240"/>
        </w:trPr>
        <w:tc>
          <w:tcPr>
            <w:tcW w:w="4820"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984" w:type="dxa"/>
            <w:tcBorders>
              <w:top w:val="nil"/>
              <w:left w:val="nil"/>
              <w:bottom w:val="single" w:sz="4" w:space="0" w:color="auto"/>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single" w:sz="4" w:space="0" w:color="auto"/>
              <w:right w:val="nil"/>
            </w:tcBorders>
            <w:shd w:val="clear" w:color="auto" w:fill="auto"/>
            <w:noWrap/>
            <w:vAlign w:val="bottom"/>
            <w:hideMark/>
          </w:tcPr>
          <w:p w:rsidR="00C95EDA" w:rsidRDefault="00C95EDA" w:rsidP="00C95EDA">
            <w:pPr>
              <w:jc w:val="right"/>
              <w:rPr>
                <w:rFonts w:ascii="Arial" w:hAnsi="Arial" w:cs="Arial"/>
                <w:b/>
                <w:bCs/>
                <w:color w:val="FF0000"/>
                <w:sz w:val="18"/>
                <w:szCs w:val="18"/>
              </w:rPr>
            </w:pPr>
          </w:p>
        </w:tc>
        <w:tc>
          <w:tcPr>
            <w:tcW w:w="1417" w:type="dxa"/>
            <w:tcBorders>
              <w:top w:val="nil"/>
              <w:left w:val="nil"/>
              <w:bottom w:val="single" w:sz="4" w:space="0" w:color="auto"/>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r w:rsidRPr="00C95EDA">
              <w:rPr>
                <w:rFonts w:ascii="Arial" w:hAnsi="Arial" w:cs="Arial"/>
                <w:bCs/>
                <w:sz w:val="18"/>
                <w:szCs w:val="18"/>
                <w:lang w:val="en-GB"/>
              </w:rPr>
              <w:t> </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Total liabilities</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DA2F82">
            <w:pPr>
              <w:jc w:val="right"/>
              <w:rPr>
                <w:rFonts w:ascii="Arial" w:hAnsi="Arial" w:cs="Arial"/>
                <w:b/>
                <w:bCs/>
                <w:sz w:val="18"/>
                <w:szCs w:val="18"/>
              </w:rPr>
            </w:pPr>
            <w:r>
              <w:rPr>
                <w:rFonts w:ascii="Arial" w:hAnsi="Arial" w:cs="Arial"/>
                <w:b/>
                <w:bCs/>
                <w:sz w:val="18"/>
                <w:szCs w:val="18"/>
              </w:rPr>
              <w:t>3</w:t>
            </w:r>
            <w:r w:rsidR="00DA2F82">
              <w:rPr>
                <w:rFonts w:ascii="Arial" w:hAnsi="Arial" w:cs="Arial"/>
                <w:b/>
                <w:bCs/>
                <w:sz w:val="18"/>
                <w:szCs w:val="18"/>
              </w:rPr>
              <w:t>9</w:t>
            </w:r>
            <w:r>
              <w:rPr>
                <w:rFonts w:ascii="Arial" w:hAnsi="Arial" w:cs="Arial"/>
                <w:b/>
                <w:bCs/>
                <w:sz w:val="18"/>
                <w:szCs w:val="18"/>
              </w:rPr>
              <w:t>,</w:t>
            </w:r>
            <w:r w:rsidR="00DA2F82">
              <w:rPr>
                <w:rFonts w:ascii="Arial" w:hAnsi="Arial" w:cs="Arial"/>
                <w:b/>
                <w:bCs/>
                <w:sz w:val="18"/>
                <w:szCs w:val="18"/>
              </w:rPr>
              <w:t>708</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41,169</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color w:val="FF0000"/>
                <w:sz w:val="18"/>
                <w:szCs w:val="18"/>
              </w:rPr>
            </w:pPr>
            <w:r>
              <w:rPr>
                <w:rFonts w:ascii="Arial" w:hAnsi="Arial" w:cs="Arial"/>
                <w:b/>
                <w:bCs/>
                <w:color w:val="FF0000"/>
                <w:sz w:val="18"/>
                <w:szCs w:val="18"/>
              </w:rPr>
              <w:t xml:space="preserve">  </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p>
        </w:tc>
      </w:tr>
      <w:tr w:rsidR="00C95EDA" w:rsidRPr="00D440C9" w:rsidTr="00991C20">
        <w:trPr>
          <w:trHeight w:val="255"/>
        </w:trPr>
        <w:tc>
          <w:tcPr>
            <w:tcW w:w="4820" w:type="dxa"/>
            <w:tcBorders>
              <w:top w:val="single" w:sz="4" w:space="0" w:color="auto"/>
              <w:left w:val="nil"/>
              <w:bottom w:val="single" w:sz="8"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Total assets less total liabilities</w:t>
            </w:r>
          </w:p>
        </w:tc>
        <w:tc>
          <w:tcPr>
            <w:tcW w:w="1984" w:type="dxa"/>
            <w:tcBorders>
              <w:top w:val="single" w:sz="4" w:space="0" w:color="auto"/>
              <w:left w:val="nil"/>
              <w:bottom w:val="single" w:sz="8" w:space="0" w:color="auto"/>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single" w:sz="4" w:space="0" w:color="auto"/>
              <w:left w:val="nil"/>
              <w:bottom w:val="single" w:sz="8" w:space="0" w:color="auto"/>
              <w:right w:val="nil"/>
            </w:tcBorders>
            <w:shd w:val="clear" w:color="auto" w:fill="auto"/>
            <w:noWrap/>
            <w:vAlign w:val="bottom"/>
            <w:hideMark/>
          </w:tcPr>
          <w:p w:rsidR="00C95EDA" w:rsidRDefault="00DA2F82" w:rsidP="00C95EDA">
            <w:pPr>
              <w:jc w:val="right"/>
              <w:rPr>
                <w:rFonts w:ascii="Arial" w:hAnsi="Arial" w:cs="Arial"/>
                <w:b/>
                <w:bCs/>
                <w:sz w:val="18"/>
                <w:szCs w:val="18"/>
              </w:rPr>
            </w:pPr>
            <w:r>
              <w:rPr>
                <w:rFonts w:ascii="Arial" w:hAnsi="Arial" w:cs="Arial"/>
                <w:b/>
                <w:bCs/>
                <w:sz w:val="18"/>
                <w:szCs w:val="18"/>
              </w:rPr>
              <w:t>69,843</w:t>
            </w:r>
          </w:p>
        </w:tc>
        <w:tc>
          <w:tcPr>
            <w:tcW w:w="1417" w:type="dxa"/>
            <w:tcBorders>
              <w:top w:val="single" w:sz="4" w:space="0" w:color="auto"/>
              <w:left w:val="nil"/>
              <w:bottom w:val="single" w:sz="8" w:space="0" w:color="auto"/>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66,838</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color w:val="FF0000"/>
                <w:sz w:val="18"/>
                <w:szCs w:val="18"/>
              </w:rPr>
            </w:pPr>
            <w:r>
              <w:rPr>
                <w:rFonts w:ascii="Arial" w:hAnsi="Arial" w:cs="Arial"/>
                <w:b/>
                <w:bCs/>
                <w:color w:val="FF0000"/>
                <w:sz w:val="18"/>
                <w:szCs w:val="18"/>
              </w:rPr>
              <w:t xml:space="preserve">  </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Equity</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rPr>
                <w:rFonts w:ascii="Arial" w:hAnsi="Arial" w:cs="Arial"/>
                <w:b/>
                <w:bCs/>
                <w:sz w:val="18"/>
                <w:szCs w:val="18"/>
              </w:rPr>
            </w:pPr>
          </w:p>
        </w:tc>
        <w:tc>
          <w:tcPr>
            <w:tcW w:w="141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rPr>
            </w:pP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Share capital</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2,165</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2,160</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Share premium</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12,150</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12,018</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Shares to be issued</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(3,309)</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(3,695)</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Other reserves</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27,630</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26,664</w:t>
            </w:r>
          </w:p>
        </w:tc>
      </w:tr>
      <w:tr w:rsidR="00C95EDA" w:rsidRPr="00D440C9" w:rsidTr="00991C20">
        <w:trPr>
          <w:trHeight w:val="240"/>
        </w:trPr>
        <w:tc>
          <w:tcPr>
            <w:tcW w:w="4820" w:type="dxa"/>
            <w:tcBorders>
              <w:top w:val="nil"/>
              <w:left w:val="nil"/>
              <w:bottom w:val="single" w:sz="4" w:space="0" w:color="auto"/>
              <w:right w:val="nil"/>
            </w:tcBorders>
            <w:shd w:val="clear" w:color="auto" w:fill="auto"/>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Retained earnings</w:t>
            </w:r>
          </w:p>
        </w:tc>
        <w:tc>
          <w:tcPr>
            <w:tcW w:w="1984" w:type="dxa"/>
            <w:tcBorders>
              <w:top w:val="nil"/>
              <w:left w:val="nil"/>
              <w:bottom w:val="single" w:sz="4" w:space="0" w:color="auto"/>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single" w:sz="4" w:space="0" w:color="auto"/>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30,962</w:t>
            </w:r>
          </w:p>
        </w:tc>
        <w:tc>
          <w:tcPr>
            <w:tcW w:w="1417" w:type="dxa"/>
            <w:tcBorders>
              <w:top w:val="nil"/>
              <w:left w:val="nil"/>
              <w:bottom w:val="single" w:sz="4" w:space="0" w:color="auto"/>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29,471</w:t>
            </w:r>
          </w:p>
        </w:tc>
      </w:tr>
      <w:tr w:rsidR="00C95EDA" w:rsidRPr="00D440C9" w:rsidTr="00991C20">
        <w:trPr>
          <w:trHeight w:val="255"/>
        </w:trPr>
        <w:tc>
          <w:tcPr>
            <w:tcW w:w="4820" w:type="dxa"/>
            <w:tcBorders>
              <w:top w:val="nil"/>
              <w:left w:val="nil"/>
              <w:bottom w:val="nil"/>
              <w:right w:val="nil"/>
            </w:tcBorders>
            <w:shd w:val="clear" w:color="auto" w:fill="auto"/>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Group shareholders' equity</w:t>
            </w:r>
          </w:p>
        </w:tc>
        <w:tc>
          <w:tcPr>
            <w:tcW w:w="1984" w:type="dxa"/>
            <w:tcBorders>
              <w:top w:val="nil"/>
              <w:left w:val="nil"/>
              <w:bottom w:val="nil"/>
              <w:right w:val="nil"/>
            </w:tcBorders>
            <w:shd w:val="clear" w:color="auto" w:fill="auto"/>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69,598</w:t>
            </w:r>
          </w:p>
        </w:tc>
        <w:tc>
          <w:tcPr>
            <w:tcW w:w="1417" w:type="dxa"/>
            <w:tcBorders>
              <w:top w:val="nil"/>
              <w:left w:val="nil"/>
              <w:bottom w:val="nil"/>
              <w:right w:val="nil"/>
            </w:tcBorders>
            <w:shd w:val="clear" w:color="auto" w:fill="auto"/>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66,618</w:t>
            </w:r>
          </w:p>
        </w:tc>
      </w:tr>
      <w:tr w:rsidR="00C95EDA" w:rsidRPr="00D440C9" w:rsidTr="00991C20">
        <w:trPr>
          <w:trHeight w:val="240"/>
        </w:trPr>
        <w:tc>
          <w:tcPr>
            <w:tcW w:w="4820" w:type="dxa"/>
            <w:tcBorders>
              <w:top w:val="nil"/>
              <w:left w:val="nil"/>
              <w:bottom w:val="nil"/>
              <w:right w:val="nil"/>
            </w:tcBorders>
            <w:shd w:val="clear" w:color="auto" w:fill="auto"/>
            <w:noWrap/>
            <w:vAlign w:val="bottom"/>
            <w:hideMark/>
          </w:tcPr>
          <w:p w:rsidR="00C95EDA" w:rsidRPr="00D440C9" w:rsidRDefault="00C95EDA" w:rsidP="00EF429F">
            <w:pPr>
              <w:rPr>
                <w:rFonts w:ascii="Arial" w:hAnsi="Arial" w:cs="Arial"/>
                <w:b/>
                <w:bCs/>
                <w:sz w:val="18"/>
                <w:szCs w:val="18"/>
                <w:lang w:val="en-GB" w:eastAsia="en-GB"/>
              </w:rPr>
            </w:pPr>
            <w:r>
              <w:rPr>
                <w:rFonts w:ascii="Arial" w:hAnsi="Arial" w:cs="Arial"/>
                <w:b/>
                <w:bCs/>
                <w:sz w:val="18"/>
                <w:szCs w:val="18"/>
                <w:lang w:val="en-GB" w:eastAsia="en-GB"/>
              </w:rPr>
              <w:t>Non-controlling</w:t>
            </w:r>
            <w:r w:rsidRPr="00D440C9">
              <w:rPr>
                <w:rFonts w:ascii="Arial" w:hAnsi="Arial" w:cs="Arial"/>
                <w:b/>
                <w:bCs/>
                <w:sz w:val="18"/>
                <w:szCs w:val="18"/>
                <w:lang w:val="en-GB" w:eastAsia="en-GB"/>
              </w:rPr>
              <w:t xml:space="preserve"> interest</w:t>
            </w:r>
          </w:p>
        </w:tc>
        <w:tc>
          <w:tcPr>
            <w:tcW w:w="1984" w:type="dxa"/>
            <w:tcBorders>
              <w:top w:val="nil"/>
              <w:left w:val="nil"/>
              <w:bottom w:val="nil"/>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245</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220</w:t>
            </w:r>
          </w:p>
        </w:tc>
      </w:tr>
      <w:tr w:rsidR="00C95EDA" w:rsidRPr="00D440C9" w:rsidTr="00991C20">
        <w:trPr>
          <w:trHeight w:val="255"/>
        </w:trPr>
        <w:tc>
          <w:tcPr>
            <w:tcW w:w="4820" w:type="dxa"/>
            <w:tcBorders>
              <w:top w:val="single" w:sz="4" w:space="0" w:color="auto"/>
              <w:left w:val="nil"/>
              <w:bottom w:val="single" w:sz="8" w:space="0" w:color="auto"/>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Total equity</w:t>
            </w:r>
          </w:p>
        </w:tc>
        <w:tc>
          <w:tcPr>
            <w:tcW w:w="1984" w:type="dxa"/>
            <w:tcBorders>
              <w:top w:val="single" w:sz="4" w:space="0" w:color="auto"/>
              <w:left w:val="nil"/>
              <w:bottom w:val="single" w:sz="8" w:space="0" w:color="auto"/>
              <w:right w:val="nil"/>
            </w:tcBorders>
            <w:shd w:val="clear" w:color="auto" w:fill="auto"/>
            <w:noWrap/>
            <w:vAlign w:val="bottom"/>
            <w:hideMark/>
          </w:tcPr>
          <w:p w:rsidR="00C95EDA" w:rsidRPr="00D440C9" w:rsidRDefault="00C95EDA" w:rsidP="00991C20">
            <w:pPr>
              <w:jc w:val="center"/>
              <w:rPr>
                <w:rFonts w:ascii="Arial" w:hAnsi="Arial" w:cs="Arial"/>
                <w:sz w:val="18"/>
                <w:szCs w:val="18"/>
                <w:lang w:val="en-GB" w:eastAsia="en-GB"/>
              </w:rPr>
            </w:pPr>
          </w:p>
        </w:tc>
        <w:tc>
          <w:tcPr>
            <w:tcW w:w="1418" w:type="dxa"/>
            <w:tcBorders>
              <w:top w:val="single" w:sz="4" w:space="0" w:color="auto"/>
              <w:left w:val="nil"/>
              <w:bottom w:val="single" w:sz="8" w:space="0" w:color="auto"/>
              <w:right w:val="nil"/>
            </w:tcBorders>
            <w:shd w:val="clear" w:color="auto" w:fill="auto"/>
            <w:noWrap/>
            <w:vAlign w:val="bottom"/>
            <w:hideMark/>
          </w:tcPr>
          <w:p w:rsidR="00C95EDA" w:rsidRDefault="00C95EDA" w:rsidP="00C95EDA">
            <w:pPr>
              <w:jc w:val="right"/>
              <w:rPr>
                <w:rFonts w:ascii="Arial" w:hAnsi="Arial" w:cs="Arial"/>
                <w:b/>
                <w:bCs/>
                <w:sz w:val="18"/>
                <w:szCs w:val="18"/>
              </w:rPr>
            </w:pPr>
            <w:r>
              <w:rPr>
                <w:rFonts w:ascii="Arial" w:hAnsi="Arial" w:cs="Arial"/>
                <w:b/>
                <w:bCs/>
                <w:sz w:val="18"/>
                <w:szCs w:val="18"/>
              </w:rPr>
              <w:t>69,843</w:t>
            </w:r>
          </w:p>
        </w:tc>
        <w:tc>
          <w:tcPr>
            <w:tcW w:w="1417" w:type="dxa"/>
            <w:tcBorders>
              <w:top w:val="single" w:sz="4" w:space="0" w:color="auto"/>
              <w:left w:val="nil"/>
              <w:bottom w:val="single" w:sz="8" w:space="0" w:color="auto"/>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rPr>
            </w:pPr>
            <w:r w:rsidRPr="00C95EDA">
              <w:rPr>
                <w:rFonts w:ascii="Arial" w:hAnsi="Arial" w:cs="Arial"/>
                <w:bCs/>
                <w:sz w:val="18"/>
                <w:szCs w:val="18"/>
                <w:lang w:val="en-GB"/>
              </w:rPr>
              <w:t>66,838</w:t>
            </w:r>
          </w:p>
        </w:tc>
      </w:tr>
    </w:tbl>
    <w:p w:rsidR="00B10E8F" w:rsidRPr="00D440C9" w:rsidRDefault="00B10E8F" w:rsidP="00B10E8F">
      <w:pPr>
        <w:pStyle w:val="HTMLPreformatted"/>
        <w:rPr>
          <w:rFonts w:ascii="Arial" w:hAnsi="Arial" w:cs="Arial"/>
          <w:b/>
          <w:bCs/>
        </w:rPr>
      </w:pPr>
      <w:r w:rsidRPr="00D440C9">
        <w:rPr>
          <w:rFonts w:ascii="Arial" w:hAnsi="Arial" w:cs="Arial"/>
          <w:b/>
          <w:bCs/>
        </w:rPr>
        <w:br w:type="page"/>
      </w:r>
      <w:r w:rsidRPr="00D440C9">
        <w:rPr>
          <w:rFonts w:ascii="Arial" w:hAnsi="Arial" w:cs="Arial"/>
          <w:b/>
          <w:bCs/>
        </w:rPr>
        <w:lastRenderedPageBreak/>
        <w:t>Braemar Shipping Services PLC</w:t>
      </w:r>
    </w:p>
    <w:p w:rsidR="000F6B23" w:rsidRPr="00D440C9" w:rsidRDefault="00DA05C4">
      <w:pPr>
        <w:rPr>
          <w:rFonts w:ascii="Arial" w:hAnsi="Arial" w:cs="Arial"/>
          <w:sz w:val="16"/>
          <w:lang w:val="en-GB"/>
        </w:rPr>
      </w:pPr>
      <w:r w:rsidRPr="00DA05C4">
        <w:rPr>
          <w:rFonts w:ascii="Arial" w:hAnsi="Arial" w:cs="Arial"/>
          <w:b/>
          <w:bCs/>
          <w:lang w:val="en-GB"/>
        </w:rPr>
        <w:t>Au</w:t>
      </w:r>
      <w:r w:rsidR="000E2703" w:rsidRPr="00DA05C4">
        <w:rPr>
          <w:rFonts w:ascii="Arial" w:hAnsi="Arial" w:cs="Arial"/>
          <w:b/>
          <w:bCs/>
          <w:lang w:val="en-GB"/>
        </w:rPr>
        <w:t xml:space="preserve">dited </w:t>
      </w:r>
      <w:r w:rsidR="000433F6" w:rsidRPr="00DA05C4">
        <w:rPr>
          <w:rFonts w:ascii="Arial" w:hAnsi="Arial" w:cs="Arial"/>
          <w:b/>
          <w:bCs/>
          <w:lang w:val="en-GB"/>
        </w:rPr>
        <w:t xml:space="preserve">Consolidated Cash flow statement </w:t>
      </w:r>
      <w:r w:rsidR="000433F6" w:rsidRPr="00DA05C4">
        <w:rPr>
          <w:rFonts w:ascii="Arial" w:hAnsi="Arial" w:cs="Arial"/>
          <w:sz w:val="16"/>
          <w:lang w:val="en-GB"/>
        </w:rPr>
        <w:t>for the year ended 2</w:t>
      </w:r>
      <w:r w:rsidR="00C95EDA">
        <w:rPr>
          <w:rFonts w:ascii="Arial" w:hAnsi="Arial" w:cs="Arial"/>
          <w:sz w:val="16"/>
          <w:lang w:val="en-GB"/>
        </w:rPr>
        <w:t>8</w:t>
      </w:r>
      <w:r w:rsidR="000433F6" w:rsidRPr="00DA05C4">
        <w:rPr>
          <w:rFonts w:ascii="Arial" w:hAnsi="Arial" w:cs="Arial"/>
          <w:sz w:val="16"/>
          <w:lang w:val="en-GB"/>
        </w:rPr>
        <w:t xml:space="preserve"> Fe</w:t>
      </w:r>
      <w:r w:rsidR="000F6B23" w:rsidRPr="00DA05C4">
        <w:rPr>
          <w:rFonts w:ascii="Arial" w:hAnsi="Arial" w:cs="Arial"/>
          <w:sz w:val="16"/>
          <w:lang w:val="en-GB"/>
        </w:rPr>
        <w:t>bruary 20</w:t>
      </w:r>
      <w:r w:rsidR="00EB71C5" w:rsidRPr="00DA05C4">
        <w:rPr>
          <w:rFonts w:ascii="Arial" w:hAnsi="Arial" w:cs="Arial"/>
          <w:sz w:val="16"/>
          <w:lang w:val="en-GB"/>
        </w:rPr>
        <w:t>1</w:t>
      </w:r>
      <w:r w:rsidR="00C95EDA">
        <w:rPr>
          <w:rFonts w:ascii="Arial" w:hAnsi="Arial" w:cs="Arial"/>
          <w:sz w:val="16"/>
          <w:lang w:val="en-GB"/>
        </w:rPr>
        <w:t>3</w:t>
      </w:r>
    </w:p>
    <w:p w:rsidR="00B10E8F" w:rsidRPr="00D440C9" w:rsidRDefault="00B10E8F">
      <w:pPr>
        <w:pStyle w:val="HTMLPreformatted"/>
      </w:pPr>
    </w:p>
    <w:tbl>
      <w:tblPr>
        <w:tblW w:w="9639" w:type="dxa"/>
        <w:tblInd w:w="108" w:type="dxa"/>
        <w:tblLook w:val="04A0" w:firstRow="1" w:lastRow="0" w:firstColumn="1" w:lastColumn="0" w:noHBand="0" w:noVBand="1"/>
      </w:tblPr>
      <w:tblGrid>
        <w:gridCol w:w="4820"/>
        <w:gridCol w:w="709"/>
        <w:gridCol w:w="1275"/>
        <w:gridCol w:w="1418"/>
        <w:gridCol w:w="1417"/>
      </w:tblGrid>
      <w:tr w:rsidR="00991C20" w:rsidRPr="00D440C9" w:rsidTr="00991C20">
        <w:trPr>
          <w:trHeight w:val="240"/>
        </w:trPr>
        <w:tc>
          <w:tcPr>
            <w:tcW w:w="4820" w:type="dxa"/>
            <w:tcBorders>
              <w:top w:val="nil"/>
              <w:left w:val="nil"/>
              <w:bottom w:val="nil"/>
              <w:right w:val="nil"/>
            </w:tcBorders>
            <w:shd w:val="clear" w:color="000000" w:fill="FFFFFF"/>
            <w:noWrap/>
            <w:vAlign w:val="bottom"/>
            <w:hideMark/>
          </w:tcPr>
          <w:p w:rsidR="00991C20" w:rsidRPr="00D440C9" w:rsidRDefault="00991C20"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984" w:type="dxa"/>
            <w:gridSpan w:val="2"/>
            <w:tcBorders>
              <w:top w:val="nil"/>
              <w:left w:val="nil"/>
              <w:bottom w:val="nil"/>
              <w:right w:val="nil"/>
            </w:tcBorders>
            <w:shd w:val="clear" w:color="000000" w:fill="FFFFFF"/>
            <w:noWrap/>
            <w:vAlign w:val="bottom"/>
            <w:hideMark/>
          </w:tcPr>
          <w:p w:rsidR="00991C20" w:rsidRPr="00D440C9" w:rsidRDefault="00991C20"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418" w:type="dxa"/>
            <w:tcBorders>
              <w:top w:val="nil"/>
              <w:left w:val="nil"/>
              <w:bottom w:val="nil"/>
              <w:right w:val="nil"/>
            </w:tcBorders>
            <w:shd w:val="clear" w:color="000000" w:fill="FFFFFF"/>
            <w:noWrap/>
            <w:vAlign w:val="bottom"/>
            <w:hideMark/>
          </w:tcPr>
          <w:p w:rsidR="00991C20" w:rsidRPr="00D440C9" w:rsidRDefault="00991C20" w:rsidP="00C95EDA">
            <w:pPr>
              <w:jc w:val="right"/>
              <w:rPr>
                <w:rFonts w:ascii="Arial" w:hAnsi="Arial" w:cs="Arial"/>
                <w:b/>
                <w:bCs/>
                <w:sz w:val="18"/>
                <w:szCs w:val="18"/>
                <w:lang w:val="en-GB" w:eastAsia="en-GB"/>
              </w:rPr>
            </w:pPr>
            <w:r w:rsidRPr="00D440C9">
              <w:rPr>
                <w:rFonts w:ascii="Arial" w:hAnsi="Arial" w:cs="Arial"/>
                <w:b/>
                <w:bCs/>
                <w:sz w:val="18"/>
                <w:szCs w:val="18"/>
                <w:lang w:val="en-GB" w:eastAsia="en-GB"/>
              </w:rPr>
              <w:t>2</w:t>
            </w:r>
            <w:r w:rsidR="00C95EDA">
              <w:rPr>
                <w:rFonts w:ascii="Arial" w:hAnsi="Arial" w:cs="Arial"/>
                <w:b/>
                <w:bCs/>
                <w:sz w:val="18"/>
                <w:szCs w:val="18"/>
                <w:lang w:val="en-GB" w:eastAsia="en-GB"/>
              </w:rPr>
              <w:t>8</w:t>
            </w:r>
            <w:r w:rsidRPr="00D440C9">
              <w:rPr>
                <w:rFonts w:ascii="Arial" w:hAnsi="Arial" w:cs="Arial"/>
                <w:b/>
                <w:bCs/>
                <w:sz w:val="18"/>
                <w:szCs w:val="18"/>
                <w:lang w:val="en-GB" w:eastAsia="en-GB"/>
              </w:rPr>
              <w:t xml:space="preserve"> Feb 201</w:t>
            </w:r>
            <w:r w:rsidR="00C95EDA">
              <w:rPr>
                <w:rFonts w:ascii="Arial" w:hAnsi="Arial" w:cs="Arial"/>
                <w:b/>
                <w:bCs/>
                <w:sz w:val="18"/>
                <w:szCs w:val="18"/>
                <w:lang w:val="en-GB" w:eastAsia="en-GB"/>
              </w:rPr>
              <w:t>3</w:t>
            </w:r>
          </w:p>
        </w:tc>
        <w:tc>
          <w:tcPr>
            <w:tcW w:w="1417" w:type="dxa"/>
            <w:tcBorders>
              <w:top w:val="nil"/>
              <w:left w:val="nil"/>
              <w:bottom w:val="nil"/>
              <w:right w:val="nil"/>
            </w:tcBorders>
            <w:shd w:val="clear" w:color="000000" w:fill="FFFFFF"/>
            <w:noWrap/>
            <w:vAlign w:val="bottom"/>
            <w:hideMark/>
          </w:tcPr>
          <w:p w:rsidR="00991C20" w:rsidRPr="00D440C9" w:rsidRDefault="009D5327" w:rsidP="00C95EDA">
            <w:pPr>
              <w:jc w:val="right"/>
              <w:rPr>
                <w:rFonts w:ascii="Arial" w:hAnsi="Arial" w:cs="Arial"/>
                <w:sz w:val="18"/>
                <w:szCs w:val="18"/>
                <w:lang w:val="en-GB" w:eastAsia="en-GB"/>
              </w:rPr>
            </w:pPr>
            <w:r>
              <w:rPr>
                <w:rFonts w:ascii="Arial" w:hAnsi="Arial" w:cs="Arial"/>
                <w:sz w:val="18"/>
                <w:szCs w:val="18"/>
                <w:lang w:val="en-GB" w:eastAsia="en-GB"/>
              </w:rPr>
              <w:t>2</w:t>
            </w:r>
            <w:r w:rsidR="00C95EDA">
              <w:rPr>
                <w:rFonts w:ascii="Arial" w:hAnsi="Arial" w:cs="Arial"/>
                <w:sz w:val="18"/>
                <w:szCs w:val="18"/>
                <w:lang w:val="en-GB" w:eastAsia="en-GB"/>
              </w:rPr>
              <w:t>9</w:t>
            </w:r>
            <w:r>
              <w:rPr>
                <w:rFonts w:ascii="Arial" w:hAnsi="Arial" w:cs="Arial"/>
                <w:sz w:val="18"/>
                <w:szCs w:val="18"/>
                <w:lang w:val="en-GB" w:eastAsia="en-GB"/>
              </w:rPr>
              <w:t xml:space="preserve"> Feb 201</w:t>
            </w:r>
            <w:r w:rsidR="00C95EDA">
              <w:rPr>
                <w:rFonts w:ascii="Arial" w:hAnsi="Arial" w:cs="Arial"/>
                <w:sz w:val="18"/>
                <w:szCs w:val="18"/>
                <w:lang w:val="en-GB" w:eastAsia="en-GB"/>
              </w:rPr>
              <w:t>2</w:t>
            </w:r>
          </w:p>
        </w:tc>
      </w:tr>
      <w:tr w:rsidR="00991C20" w:rsidRPr="00D440C9" w:rsidTr="00991C20">
        <w:trPr>
          <w:trHeight w:val="255"/>
        </w:trPr>
        <w:tc>
          <w:tcPr>
            <w:tcW w:w="4820" w:type="dxa"/>
            <w:tcBorders>
              <w:top w:val="nil"/>
              <w:left w:val="nil"/>
              <w:bottom w:val="single" w:sz="8" w:space="0" w:color="auto"/>
              <w:right w:val="nil"/>
            </w:tcBorders>
            <w:shd w:val="clear" w:color="000000" w:fill="FFFFFF"/>
            <w:noWrap/>
            <w:vAlign w:val="bottom"/>
            <w:hideMark/>
          </w:tcPr>
          <w:p w:rsidR="00991C20" w:rsidRPr="00D440C9" w:rsidRDefault="00991C20"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984" w:type="dxa"/>
            <w:gridSpan w:val="2"/>
            <w:tcBorders>
              <w:top w:val="nil"/>
              <w:left w:val="nil"/>
              <w:bottom w:val="single" w:sz="8" w:space="0" w:color="auto"/>
              <w:right w:val="nil"/>
            </w:tcBorders>
            <w:shd w:val="clear" w:color="000000" w:fill="FFFFFF"/>
            <w:noWrap/>
            <w:vAlign w:val="bottom"/>
            <w:hideMark/>
          </w:tcPr>
          <w:p w:rsidR="00991C20" w:rsidRPr="00D440C9" w:rsidRDefault="00991C20" w:rsidP="00991C20">
            <w:pPr>
              <w:jc w:val="center"/>
              <w:rPr>
                <w:rFonts w:ascii="Arial" w:hAnsi="Arial" w:cs="Arial"/>
                <w:sz w:val="18"/>
                <w:szCs w:val="18"/>
                <w:lang w:val="en-GB" w:eastAsia="en-GB"/>
              </w:rPr>
            </w:pPr>
            <w:r w:rsidRPr="00D440C9">
              <w:rPr>
                <w:rFonts w:ascii="Arial" w:hAnsi="Arial" w:cs="Arial"/>
                <w:sz w:val="18"/>
                <w:szCs w:val="18"/>
                <w:lang w:val="en-GB" w:eastAsia="en-GB"/>
              </w:rPr>
              <w:t>Notes</w:t>
            </w:r>
          </w:p>
        </w:tc>
        <w:tc>
          <w:tcPr>
            <w:tcW w:w="1418" w:type="dxa"/>
            <w:tcBorders>
              <w:top w:val="nil"/>
              <w:left w:val="nil"/>
              <w:bottom w:val="single" w:sz="8" w:space="0" w:color="auto"/>
              <w:right w:val="nil"/>
            </w:tcBorders>
            <w:shd w:val="clear" w:color="000000" w:fill="FFFFFF"/>
            <w:noWrap/>
            <w:vAlign w:val="bottom"/>
            <w:hideMark/>
          </w:tcPr>
          <w:p w:rsidR="00991C20" w:rsidRPr="00D440C9" w:rsidRDefault="00991C20"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£'000</w:t>
            </w:r>
          </w:p>
        </w:tc>
        <w:tc>
          <w:tcPr>
            <w:tcW w:w="1417" w:type="dxa"/>
            <w:tcBorders>
              <w:top w:val="nil"/>
              <w:left w:val="nil"/>
              <w:bottom w:val="single" w:sz="8" w:space="0" w:color="auto"/>
              <w:right w:val="nil"/>
            </w:tcBorders>
            <w:shd w:val="clear" w:color="000000" w:fill="FFFFFF"/>
            <w:noWrap/>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£'000</w:t>
            </w:r>
          </w:p>
        </w:tc>
      </w:tr>
      <w:tr w:rsidR="00991C20" w:rsidRPr="00D440C9" w:rsidTr="00991C20">
        <w:trPr>
          <w:trHeight w:val="240"/>
        </w:trPr>
        <w:tc>
          <w:tcPr>
            <w:tcW w:w="4820" w:type="dxa"/>
            <w:tcBorders>
              <w:top w:val="nil"/>
              <w:left w:val="nil"/>
              <w:bottom w:val="nil"/>
              <w:right w:val="nil"/>
            </w:tcBorders>
            <w:shd w:val="clear" w:color="000000" w:fill="FFFFFF"/>
            <w:noWrap/>
            <w:vAlign w:val="bottom"/>
            <w:hideMark/>
          </w:tcPr>
          <w:p w:rsidR="00991C20" w:rsidRPr="00D440C9" w:rsidRDefault="00991C20" w:rsidP="00991C20">
            <w:pPr>
              <w:rPr>
                <w:rFonts w:ascii="Arial" w:hAnsi="Arial" w:cs="Arial"/>
                <w:b/>
                <w:bCs/>
                <w:sz w:val="18"/>
                <w:szCs w:val="18"/>
                <w:lang w:val="en-GB" w:eastAsia="en-GB"/>
              </w:rPr>
            </w:pPr>
            <w:r w:rsidRPr="00D440C9">
              <w:rPr>
                <w:rFonts w:ascii="Arial" w:hAnsi="Arial" w:cs="Arial"/>
                <w:b/>
                <w:bCs/>
                <w:sz w:val="18"/>
                <w:szCs w:val="18"/>
                <w:lang w:val="en-GB" w:eastAsia="en-GB"/>
              </w:rPr>
              <w:t>Cash flows from operating activities</w:t>
            </w:r>
          </w:p>
        </w:tc>
        <w:tc>
          <w:tcPr>
            <w:tcW w:w="1984" w:type="dxa"/>
            <w:gridSpan w:val="2"/>
            <w:tcBorders>
              <w:top w:val="nil"/>
              <w:left w:val="nil"/>
              <w:bottom w:val="nil"/>
              <w:right w:val="nil"/>
            </w:tcBorders>
            <w:shd w:val="clear" w:color="000000" w:fill="FFFFFF"/>
            <w:noWrap/>
            <w:vAlign w:val="bottom"/>
            <w:hideMark/>
          </w:tcPr>
          <w:p w:rsidR="00991C20" w:rsidRPr="00D440C9" w:rsidRDefault="00991C20" w:rsidP="005A4A60">
            <w:pPr>
              <w:jc w:val="center"/>
              <w:rPr>
                <w:rFonts w:ascii="Arial" w:hAnsi="Arial" w:cs="Arial"/>
                <w:sz w:val="18"/>
                <w:szCs w:val="18"/>
                <w:lang w:val="en-GB" w:eastAsia="en-GB"/>
              </w:rPr>
            </w:pPr>
          </w:p>
        </w:tc>
        <w:tc>
          <w:tcPr>
            <w:tcW w:w="1418" w:type="dxa"/>
            <w:tcBorders>
              <w:top w:val="nil"/>
              <w:left w:val="nil"/>
              <w:bottom w:val="nil"/>
              <w:right w:val="nil"/>
            </w:tcBorders>
            <w:shd w:val="clear" w:color="000000" w:fill="FFFFFF"/>
            <w:noWrap/>
            <w:vAlign w:val="bottom"/>
            <w:hideMark/>
          </w:tcPr>
          <w:p w:rsidR="00991C20" w:rsidRPr="00D440C9" w:rsidRDefault="00991C20" w:rsidP="00991C20">
            <w:pPr>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417" w:type="dxa"/>
            <w:tcBorders>
              <w:top w:val="nil"/>
              <w:left w:val="nil"/>
              <w:bottom w:val="nil"/>
              <w:right w:val="nil"/>
            </w:tcBorders>
            <w:shd w:val="clear" w:color="000000" w:fill="FFFFFF"/>
            <w:noWrap/>
            <w:vAlign w:val="bottom"/>
            <w:hideMark/>
          </w:tcPr>
          <w:p w:rsidR="00991C20" w:rsidRPr="00D440C9" w:rsidRDefault="00991C20" w:rsidP="00991C20">
            <w:pPr>
              <w:rPr>
                <w:rFonts w:ascii="Arial" w:hAnsi="Arial" w:cs="Arial"/>
                <w:sz w:val="18"/>
                <w:szCs w:val="18"/>
                <w:lang w:val="en-GB" w:eastAsia="en-GB"/>
              </w:rPr>
            </w:pPr>
            <w:r w:rsidRPr="00D440C9">
              <w:rPr>
                <w:rFonts w:ascii="Arial" w:hAnsi="Arial" w:cs="Arial"/>
                <w:sz w:val="18"/>
                <w:szCs w:val="18"/>
                <w:lang w:val="en-GB" w:eastAsia="en-GB"/>
              </w:rPr>
              <w:t> </w:t>
            </w:r>
          </w:p>
        </w:tc>
      </w:tr>
      <w:tr w:rsidR="00B81296" w:rsidRPr="00D440C9" w:rsidTr="00991C20">
        <w:trPr>
          <w:trHeight w:val="240"/>
        </w:trPr>
        <w:tc>
          <w:tcPr>
            <w:tcW w:w="4820" w:type="dxa"/>
            <w:tcBorders>
              <w:top w:val="nil"/>
              <w:left w:val="nil"/>
              <w:bottom w:val="nil"/>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r w:rsidRPr="00D440C9">
              <w:rPr>
                <w:rFonts w:ascii="Arial" w:hAnsi="Arial" w:cs="Arial"/>
                <w:sz w:val="18"/>
                <w:szCs w:val="18"/>
                <w:lang w:val="en-GB" w:eastAsia="en-GB"/>
              </w:rPr>
              <w:t>Cash generated from operations</w:t>
            </w:r>
          </w:p>
        </w:tc>
        <w:tc>
          <w:tcPr>
            <w:tcW w:w="1984" w:type="dxa"/>
            <w:gridSpan w:val="2"/>
            <w:tcBorders>
              <w:top w:val="nil"/>
              <w:left w:val="nil"/>
              <w:bottom w:val="nil"/>
              <w:right w:val="nil"/>
            </w:tcBorders>
            <w:shd w:val="clear" w:color="000000" w:fill="FFFFFF"/>
            <w:noWrap/>
            <w:vAlign w:val="bottom"/>
            <w:hideMark/>
          </w:tcPr>
          <w:p w:rsidR="00B81296" w:rsidRPr="00D440C9" w:rsidRDefault="00B81296" w:rsidP="00991C20">
            <w:pPr>
              <w:jc w:val="center"/>
              <w:rPr>
                <w:rFonts w:ascii="Arial" w:hAnsi="Arial" w:cs="Arial"/>
                <w:sz w:val="18"/>
                <w:szCs w:val="18"/>
                <w:lang w:val="en-GB" w:eastAsia="en-GB"/>
              </w:rPr>
            </w:pPr>
            <w:r>
              <w:rPr>
                <w:rFonts w:ascii="Arial" w:hAnsi="Arial" w:cs="Arial"/>
                <w:sz w:val="18"/>
                <w:szCs w:val="18"/>
                <w:lang w:val="en-GB" w:eastAsia="en-GB"/>
              </w:rPr>
              <w:t>7</w:t>
            </w:r>
          </w:p>
        </w:tc>
        <w:tc>
          <w:tcPr>
            <w:tcW w:w="1418" w:type="dxa"/>
            <w:tcBorders>
              <w:top w:val="nil"/>
              <w:left w:val="nil"/>
              <w:right w:val="nil"/>
            </w:tcBorders>
            <w:shd w:val="clear" w:color="000000" w:fill="FFFFFF"/>
            <w:noWrap/>
            <w:vAlign w:val="bottom"/>
            <w:hideMark/>
          </w:tcPr>
          <w:p w:rsidR="00B81296" w:rsidRDefault="00B81296" w:rsidP="00B81296">
            <w:pPr>
              <w:jc w:val="right"/>
              <w:rPr>
                <w:rFonts w:ascii="Arial" w:hAnsi="Arial" w:cs="Arial"/>
                <w:b/>
                <w:bCs/>
                <w:sz w:val="18"/>
                <w:szCs w:val="18"/>
              </w:rPr>
            </w:pPr>
            <w:r>
              <w:rPr>
                <w:rFonts w:ascii="Arial" w:hAnsi="Arial" w:cs="Arial"/>
                <w:b/>
                <w:bCs/>
                <w:sz w:val="18"/>
                <w:szCs w:val="18"/>
              </w:rPr>
              <w:t>14,996</w:t>
            </w:r>
          </w:p>
        </w:tc>
        <w:tc>
          <w:tcPr>
            <w:tcW w:w="1417" w:type="dxa"/>
            <w:tcBorders>
              <w:top w:val="nil"/>
              <w:left w:val="nil"/>
              <w:right w:val="nil"/>
            </w:tcBorders>
            <w:shd w:val="clear" w:color="000000" w:fill="FFFFFF"/>
            <w:noWrap/>
            <w:vAlign w:val="bottom"/>
            <w:hideMark/>
          </w:tcPr>
          <w:p w:rsidR="00B81296" w:rsidRPr="00C95EDA" w:rsidRDefault="00B81296"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5,034</w:t>
            </w:r>
          </w:p>
        </w:tc>
      </w:tr>
      <w:tr w:rsidR="00B81296" w:rsidRPr="00D440C9" w:rsidTr="00991C20">
        <w:trPr>
          <w:trHeight w:val="240"/>
        </w:trPr>
        <w:tc>
          <w:tcPr>
            <w:tcW w:w="4820" w:type="dxa"/>
            <w:tcBorders>
              <w:top w:val="nil"/>
              <w:left w:val="nil"/>
              <w:bottom w:val="nil"/>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r w:rsidRPr="00D440C9">
              <w:rPr>
                <w:rFonts w:ascii="Arial" w:hAnsi="Arial" w:cs="Arial"/>
                <w:sz w:val="18"/>
                <w:szCs w:val="18"/>
                <w:lang w:val="en-GB" w:eastAsia="en-GB"/>
              </w:rPr>
              <w:t>Interest received</w:t>
            </w:r>
          </w:p>
        </w:tc>
        <w:tc>
          <w:tcPr>
            <w:tcW w:w="1984" w:type="dxa"/>
            <w:gridSpan w:val="2"/>
            <w:tcBorders>
              <w:top w:val="nil"/>
              <w:left w:val="nil"/>
              <w:bottom w:val="nil"/>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B81296" w:rsidRDefault="00B81296" w:rsidP="001E7739">
            <w:pPr>
              <w:jc w:val="right"/>
              <w:rPr>
                <w:rFonts w:ascii="Arial" w:hAnsi="Arial" w:cs="Arial"/>
                <w:b/>
                <w:bCs/>
                <w:sz w:val="18"/>
                <w:szCs w:val="18"/>
              </w:rPr>
            </w:pPr>
            <w:r>
              <w:rPr>
                <w:rFonts w:ascii="Arial" w:hAnsi="Arial" w:cs="Arial"/>
                <w:b/>
                <w:bCs/>
                <w:sz w:val="18"/>
                <w:szCs w:val="18"/>
              </w:rPr>
              <w:t>296</w:t>
            </w:r>
          </w:p>
        </w:tc>
        <w:tc>
          <w:tcPr>
            <w:tcW w:w="1417" w:type="dxa"/>
            <w:tcBorders>
              <w:top w:val="nil"/>
              <w:left w:val="nil"/>
              <w:bottom w:val="nil"/>
              <w:right w:val="nil"/>
            </w:tcBorders>
            <w:shd w:val="clear" w:color="auto" w:fill="auto"/>
            <w:noWrap/>
            <w:vAlign w:val="bottom"/>
            <w:hideMark/>
          </w:tcPr>
          <w:p w:rsidR="00B81296" w:rsidRPr="00C95EDA" w:rsidRDefault="00B81296"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213</w:t>
            </w:r>
          </w:p>
        </w:tc>
      </w:tr>
      <w:tr w:rsidR="00B81296" w:rsidRPr="00D440C9" w:rsidTr="00991C20">
        <w:trPr>
          <w:trHeight w:val="240"/>
        </w:trPr>
        <w:tc>
          <w:tcPr>
            <w:tcW w:w="4820" w:type="dxa"/>
            <w:tcBorders>
              <w:top w:val="nil"/>
              <w:left w:val="nil"/>
              <w:bottom w:val="nil"/>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r w:rsidRPr="00D440C9">
              <w:rPr>
                <w:rFonts w:ascii="Arial" w:hAnsi="Arial" w:cs="Arial"/>
                <w:sz w:val="18"/>
                <w:szCs w:val="18"/>
                <w:lang w:val="en-GB" w:eastAsia="en-GB"/>
              </w:rPr>
              <w:t>Interest paid</w:t>
            </w:r>
          </w:p>
        </w:tc>
        <w:tc>
          <w:tcPr>
            <w:tcW w:w="1984" w:type="dxa"/>
            <w:gridSpan w:val="2"/>
            <w:tcBorders>
              <w:top w:val="nil"/>
              <w:left w:val="nil"/>
              <w:bottom w:val="nil"/>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B81296" w:rsidRDefault="00B81296" w:rsidP="001E7739">
            <w:pPr>
              <w:jc w:val="right"/>
              <w:rPr>
                <w:rFonts w:ascii="Arial" w:hAnsi="Arial" w:cs="Arial"/>
                <w:b/>
                <w:bCs/>
                <w:sz w:val="18"/>
                <w:szCs w:val="18"/>
              </w:rPr>
            </w:pPr>
            <w:r>
              <w:rPr>
                <w:rFonts w:ascii="Arial" w:hAnsi="Arial" w:cs="Arial"/>
                <w:b/>
                <w:bCs/>
                <w:sz w:val="18"/>
                <w:szCs w:val="18"/>
              </w:rPr>
              <w:t>(45)</w:t>
            </w:r>
          </w:p>
        </w:tc>
        <w:tc>
          <w:tcPr>
            <w:tcW w:w="1417" w:type="dxa"/>
            <w:tcBorders>
              <w:top w:val="nil"/>
              <w:left w:val="nil"/>
              <w:bottom w:val="nil"/>
              <w:right w:val="nil"/>
            </w:tcBorders>
            <w:shd w:val="clear" w:color="auto" w:fill="auto"/>
            <w:noWrap/>
            <w:vAlign w:val="bottom"/>
            <w:hideMark/>
          </w:tcPr>
          <w:p w:rsidR="00B81296" w:rsidRPr="00C95EDA" w:rsidRDefault="00B81296"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(32)</w:t>
            </w:r>
          </w:p>
        </w:tc>
      </w:tr>
      <w:tr w:rsidR="00B81296" w:rsidRPr="00D440C9" w:rsidTr="00991C20">
        <w:trPr>
          <w:trHeight w:val="240"/>
        </w:trPr>
        <w:tc>
          <w:tcPr>
            <w:tcW w:w="4820" w:type="dxa"/>
            <w:tcBorders>
              <w:top w:val="nil"/>
              <w:left w:val="nil"/>
              <w:bottom w:val="nil"/>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r w:rsidRPr="00D440C9">
              <w:rPr>
                <w:rFonts w:ascii="Arial" w:hAnsi="Arial" w:cs="Arial"/>
                <w:sz w:val="18"/>
                <w:szCs w:val="18"/>
                <w:lang w:val="en-GB" w:eastAsia="en-GB"/>
              </w:rPr>
              <w:t>Tax paid</w:t>
            </w:r>
          </w:p>
        </w:tc>
        <w:tc>
          <w:tcPr>
            <w:tcW w:w="1984" w:type="dxa"/>
            <w:gridSpan w:val="2"/>
            <w:tcBorders>
              <w:top w:val="nil"/>
              <w:left w:val="nil"/>
              <w:bottom w:val="nil"/>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B81296" w:rsidRDefault="00B81296" w:rsidP="001E7739">
            <w:pPr>
              <w:jc w:val="right"/>
              <w:rPr>
                <w:rFonts w:ascii="Arial" w:hAnsi="Arial" w:cs="Arial"/>
                <w:b/>
                <w:bCs/>
                <w:sz w:val="18"/>
                <w:szCs w:val="18"/>
              </w:rPr>
            </w:pPr>
            <w:r>
              <w:rPr>
                <w:rFonts w:ascii="Arial" w:hAnsi="Arial" w:cs="Arial"/>
                <w:b/>
                <w:bCs/>
                <w:sz w:val="18"/>
                <w:szCs w:val="18"/>
              </w:rPr>
              <w:t>(3,625)</w:t>
            </w:r>
          </w:p>
        </w:tc>
        <w:tc>
          <w:tcPr>
            <w:tcW w:w="1417" w:type="dxa"/>
            <w:tcBorders>
              <w:top w:val="nil"/>
              <w:left w:val="nil"/>
              <w:bottom w:val="nil"/>
              <w:right w:val="nil"/>
            </w:tcBorders>
            <w:shd w:val="clear" w:color="auto" w:fill="auto"/>
            <w:noWrap/>
            <w:vAlign w:val="bottom"/>
            <w:hideMark/>
          </w:tcPr>
          <w:p w:rsidR="00B81296" w:rsidRPr="00C95EDA" w:rsidRDefault="00B81296"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(3,858)</w:t>
            </w:r>
          </w:p>
        </w:tc>
      </w:tr>
      <w:tr w:rsidR="00B81296" w:rsidRPr="00D440C9" w:rsidTr="00991C20">
        <w:trPr>
          <w:trHeight w:val="240"/>
        </w:trPr>
        <w:tc>
          <w:tcPr>
            <w:tcW w:w="4820" w:type="dxa"/>
            <w:tcBorders>
              <w:top w:val="single" w:sz="4" w:space="0" w:color="auto"/>
              <w:left w:val="nil"/>
              <w:bottom w:val="single" w:sz="4" w:space="0" w:color="auto"/>
              <w:right w:val="nil"/>
            </w:tcBorders>
            <w:shd w:val="clear" w:color="000000" w:fill="FFFFFF"/>
            <w:noWrap/>
            <w:vAlign w:val="bottom"/>
            <w:hideMark/>
          </w:tcPr>
          <w:p w:rsidR="00B81296" w:rsidRPr="00D440C9" w:rsidRDefault="00B81296" w:rsidP="00991C20">
            <w:pPr>
              <w:rPr>
                <w:rFonts w:ascii="Arial" w:hAnsi="Arial" w:cs="Arial"/>
                <w:b/>
                <w:bCs/>
                <w:sz w:val="18"/>
                <w:szCs w:val="18"/>
                <w:lang w:val="en-GB" w:eastAsia="en-GB"/>
              </w:rPr>
            </w:pPr>
            <w:r w:rsidRPr="00D440C9">
              <w:rPr>
                <w:rFonts w:ascii="Arial" w:hAnsi="Arial" w:cs="Arial"/>
                <w:b/>
                <w:bCs/>
                <w:sz w:val="18"/>
                <w:szCs w:val="18"/>
                <w:lang w:val="en-GB" w:eastAsia="en-GB"/>
              </w:rPr>
              <w:t>Net cash generated from operating activities</w:t>
            </w:r>
          </w:p>
        </w:tc>
        <w:tc>
          <w:tcPr>
            <w:tcW w:w="1984" w:type="dxa"/>
            <w:gridSpan w:val="2"/>
            <w:tcBorders>
              <w:top w:val="single" w:sz="4" w:space="0" w:color="auto"/>
              <w:left w:val="nil"/>
              <w:bottom w:val="single" w:sz="4" w:space="0" w:color="auto"/>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p>
        </w:tc>
        <w:tc>
          <w:tcPr>
            <w:tcW w:w="1418" w:type="dxa"/>
            <w:tcBorders>
              <w:top w:val="single" w:sz="4" w:space="0" w:color="auto"/>
              <w:left w:val="nil"/>
              <w:bottom w:val="single" w:sz="4" w:space="0" w:color="auto"/>
              <w:right w:val="nil"/>
            </w:tcBorders>
            <w:shd w:val="clear" w:color="auto" w:fill="auto"/>
            <w:noWrap/>
            <w:vAlign w:val="bottom"/>
            <w:hideMark/>
          </w:tcPr>
          <w:p w:rsidR="00B81296" w:rsidRDefault="00B81296" w:rsidP="001E7739">
            <w:pPr>
              <w:jc w:val="right"/>
              <w:rPr>
                <w:rFonts w:ascii="Arial" w:hAnsi="Arial" w:cs="Arial"/>
                <w:b/>
                <w:bCs/>
                <w:sz w:val="18"/>
                <w:szCs w:val="18"/>
              </w:rPr>
            </w:pPr>
            <w:r>
              <w:rPr>
                <w:rFonts w:ascii="Arial" w:hAnsi="Arial" w:cs="Arial"/>
                <w:b/>
                <w:bCs/>
                <w:sz w:val="18"/>
                <w:szCs w:val="18"/>
              </w:rPr>
              <w:t>11,622</w:t>
            </w:r>
          </w:p>
        </w:tc>
        <w:tc>
          <w:tcPr>
            <w:tcW w:w="1417" w:type="dxa"/>
            <w:tcBorders>
              <w:top w:val="single" w:sz="4" w:space="0" w:color="auto"/>
              <w:left w:val="nil"/>
              <w:bottom w:val="single" w:sz="4" w:space="0" w:color="auto"/>
              <w:right w:val="nil"/>
            </w:tcBorders>
            <w:shd w:val="clear" w:color="auto" w:fill="auto"/>
            <w:noWrap/>
            <w:vAlign w:val="bottom"/>
            <w:hideMark/>
          </w:tcPr>
          <w:p w:rsidR="00B81296" w:rsidRPr="00C95EDA" w:rsidRDefault="00B81296"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1,357</w:t>
            </w:r>
          </w:p>
        </w:tc>
      </w:tr>
      <w:tr w:rsidR="00C95EDA" w:rsidRPr="00D440C9" w:rsidTr="00991C20">
        <w:trPr>
          <w:trHeight w:val="240"/>
        </w:trPr>
        <w:tc>
          <w:tcPr>
            <w:tcW w:w="4820" w:type="dxa"/>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984" w:type="dxa"/>
            <w:gridSpan w:val="2"/>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eastAsia="en-GB"/>
              </w:rPr>
            </w:pPr>
          </w:p>
        </w:tc>
      </w:tr>
      <w:tr w:rsidR="00C95EDA" w:rsidRPr="00D440C9" w:rsidTr="00991C20">
        <w:trPr>
          <w:trHeight w:val="240"/>
        </w:trPr>
        <w:tc>
          <w:tcPr>
            <w:tcW w:w="4820" w:type="dxa"/>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Cash flows from investing activities</w:t>
            </w:r>
          </w:p>
        </w:tc>
        <w:tc>
          <w:tcPr>
            <w:tcW w:w="1984" w:type="dxa"/>
            <w:gridSpan w:val="2"/>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eastAsia="en-GB"/>
              </w:rPr>
            </w:pPr>
          </w:p>
        </w:tc>
      </w:tr>
      <w:tr w:rsidR="00B81296" w:rsidRPr="00D440C9" w:rsidTr="00991C20">
        <w:trPr>
          <w:trHeight w:val="240"/>
        </w:trPr>
        <w:tc>
          <w:tcPr>
            <w:tcW w:w="4820" w:type="dxa"/>
            <w:tcBorders>
              <w:top w:val="nil"/>
              <w:left w:val="nil"/>
              <w:bottom w:val="nil"/>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r w:rsidRPr="00D440C9">
              <w:rPr>
                <w:rFonts w:ascii="Arial" w:hAnsi="Arial" w:cs="Arial"/>
                <w:sz w:val="18"/>
                <w:szCs w:val="18"/>
                <w:lang w:val="en-GB" w:eastAsia="en-GB"/>
              </w:rPr>
              <w:t>Dividends from joint ventures</w:t>
            </w:r>
          </w:p>
        </w:tc>
        <w:tc>
          <w:tcPr>
            <w:tcW w:w="1984" w:type="dxa"/>
            <w:gridSpan w:val="2"/>
            <w:tcBorders>
              <w:top w:val="nil"/>
              <w:left w:val="nil"/>
              <w:bottom w:val="nil"/>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B81296" w:rsidRDefault="00B81296" w:rsidP="001E7739">
            <w:pPr>
              <w:jc w:val="right"/>
              <w:rPr>
                <w:rFonts w:ascii="Arial" w:hAnsi="Arial" w:cs="Arial"/>
                <w:b/>
                <w:bCs/>
                <w:sz w:val="18"/>
                <w:szCs w:val="18"/>
              </w:rPr>
            </w:pPr>
            <w:r>
              <w:rPr>
                <w:rFonts w:ascii="Arial" w:hAnsi="Arial" w:cs="Arial"/>
                <w:b/>
                <w:bCs/>
                <w:sz w:val="18"/>
                <w:szCs w:val="18"/>
              </w:rPr>
              <w:t>189</w:t>
            </w:r>
          </w:p>
        </w:tc>
        <w:tc>
          <w:tcPr>
            <w:tcW w:w="1417" w:type="dxa"/>
            <w:tcBorders>
              <w:top w:val="nil"/>
              <w:left w:val="nil"/>
              <w:bottom w:val="nil"/>
              <w:right w:val="nil"/>
            </w:tcBorders>
            <w:shd w:val="clear" w:color="auto" w:fill="auto"/>
            <w:noWrap/>
            <w:vAlign w:val="bottom"/>
            <w:hideMark/>
          </w:tcPr>
          <w:p w:rsidR="00B81296" w:rsidRPr="00C95EDA" w:rsidRDefault="00B81296"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 xml:space="preserve">74  </w:t>
            </w:r>
          </w:p>
        </w:tc>
      </w:tr>
      <w:tr w:rsidR="00B81296" w:rsidRPr="00D440C9" w:rsidTr="00991C20">
        <w:trPr>
          <w:trHeight w:val="240"/>
        </w:trPr>
        <w:tc>
          <w:tcPr>
            <w:tcW w:w="4820" w:type="dxa"/>
            <w:tcBorders>
              <w:top w:val="nil"/>
              <w:left w:val="nil"/>
              <w:bottom w:val="nil"/>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r w:rsidRPr="00D440C9">
              <w:rPr>
                <w:rFonts w:ascii="Arial" w:hAnsi="Arial" w:cs="Arial"/>
                <w:sz w:val="18"/>
                <w:szCs w:val="18"/>
                <w:lang w:val="en-GB" w:eastAsia="en-GB"/>
              </w:rPr>
              <w:t>Acquisition of subsidiaries, net of cash acquired</w:t>
            </w:r>
          </w:p>
        </w:tc>
        <w:tc>
          <w:tcPr>
            <w:tcW w:w="1984" w:type="dxa"/>
            <w:gridSpan w:val="2"/>
            <w:tcBorders>
              <w:top w:val="nil"/>
              <w:left w:val="nil"/>
              <w:bottom w:val="nil"/>
              <w:right w:val="nil"/>
            </w:tcBorders>
            <w:shd w:val="clear" w:color="000000" w:fill="FFFFFF"/>
            <w:noWrap/>
            <w:vAlign w:val="bottom"/>
            <w:hideMark/>
          </w:tcPr>
          <w:p w:rsidR="00B81296" w:rsidRPr="00D440C9" w:rsidRDefault="00B81296" w:rsidP="00991C20">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B81296" w:rsidRDefault="00B81296" w:rsidP="001E7739">
            <w:pPr>
              <w:jc w:val="right"/>
              <w:rPr>
                <w:rFonts w:ascii="Arial" w:hAnsi="Arial" w:cs="Arial"/>
                <w:b/>
                <w:bCs/>
                <w:sz w:val="18"/>
                <w:szCs w:val="18"/>
              </w:rPr>
            </w:pPr>
            <w:r>
              <w:rPr>
                <w:rFonts w:ascii="Arial" w:hAnsi="Arial" w:cs="Arial"/>
                <w:b/>
                <w:bCs/>
                <w:sz w:val="18"/>
                <w:szCs w:val="18"/>
              </w:rPr>
              <w:t>(279)</w:t>
            </w:r>
          </w:p>
        </w:tc>
        <w:tc>
          <w:tcPr>
            <w:tcW w:w="1417" w:type="dxa"/>
            <w:tcBorders>
              <w:top w:val="nil"/>
              <w:left w:val="nil"/>
              <w:bottom w:val="nil"/>
              <w:right w:val="nil"/>
            </w:tcBorders>
            <w:shd w:val="clear" w:color="auto" w:fill="auto"/>
            <w:noWrap/>
            <w:vAlign w:val="bottom"/>
            <w:hideMark/>
          </w:tcPr>
          <w:p w:rsidR="00B81296" w:rsidRPr="00C95EDA" w:rsidRDefault="00B81296"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(3,106)</w:t>
            </w:r>
          </w:p>
        </w:tc>
      </w:tr>
      <w:tr w:rsidR="00B81296" w:rsidRPr="00D440C9" w:rsidTr="001953B9">
        <w:trPr>
          <w:trHeight w:val="240"/>
        </w:trPr>
        <w:tc>
          <w:tcPr>
            <w:tcW w:w="5529" w:type="dxa"/>
            <w:gridSpan w:val="2"/>
            <w:tcBorders>
              <w:top w:val="nil"/>
              <w:left w:val="nil"/>
              <w:bottom w:val="nil"/>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r w:rsidRPr="00D440C9">
              <w:rPr>
                <w:rFonts w:ascii="Arial" w:hAnsi="Arial" w:cs="Arial"/>
                <w:sz w:val="18"/>
                <w:szCs w:val="18"/>
                <w:lang w:val="en-GB" w:eastAsia="en-GB"/>
              </w:rPr>
              <w:t>Purchase of property, plant and equipment</w:t>
            </w:r>
            <w:r w:rsidR="001953B9">
              <w:rPr>
                <w:rFonts w:ascii="Arial" w:hAnsi="Arial" w:cs="Arial"/>
                <w:sz w:val="18"/>
                <w:szCs w:val="18"/>
                <w:lang w:val="en-GB" w:eastAsia="en-GB"/>
              </w:rPr>
              <w:t xml:space="preserve"> and computer software</w:t>
            </w:r>
          </w:p>
        </w:tc>
        <w:tc>
          <w:tcPr>
            <w:tcW w:w="1275" w:type="dxa"/>
            <w:tcBorders>
              <w:top w:val="nil"/>
              <w:left w:val="nil"/>
              <w:bottom w:val="nil"/>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B81296" w:rsidRDefault="00B81296" w:rsidP="001E7739">
            <w:pPr>
              <w:jc w:val="right"/>
              <w:rPr>
                <w:rFonts w:ascii="Arial" w:hAnsi="Arial" w:cs="Arial"/>
                <w:b/>
                <w:bCs/>
                <w:sz w:val="18"/>
                <w:szCs w:val="18"/>
              </w:rPr>
            </w:pPr>
            <w:r>
              <w:rPr>
                <w:rFonts w:ascii="Arial" w:hAnsi="Arial" w:cs="Arial"/>
                <w:b/>
                <w:bCs/>
                <w:sz w:val="18"/>
                <w:szCs w:val="18"/>
              </w:rPr>
              <w:t>(1,253)</w:t>
            </w:r>
          </w:p>
        </w:tc>
        <w:tc>
          <w:tcPr>
            <w:tcW w:w="1417" w:type="dxa"/>
            <w:tcBorders>
              <w:top w:val="nil"/>
              <w:left w:val="nil"/>
              <w:bottom w:val="nil"/>
              <w:right w:val="nil"/>
            </w:tcBorders>
            <w:shd w:val="clear" w:color="auto" w:fill="auto"/>
            <w:noWrap/>
            <w:vAlign w:val="bottom"/>
            <w:hideMark/>
          </w:tcPr>
          <w:p w:rsidR="00B81296" w:rsidRPr="00C95EDA" w:rsidRDefault="00B81296"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(1,050)</w:t>
            </w:r>
          </w:p>
        </w:tc>
      </w:tr>
      <w:tr w:rsidR="00B81296" w:rsidRPr="00D440C9" w:rsidTr="00991C20">
        <w:trPr>
          <w:trHeight w:val="240"/>
        </w:trPr>
        <w:tc>
          <w:tcPr>
            <w:tcW w:w="6804" w:type="dxa"/>
            <w:gridSpan w:val="3"/>
            <w:tcBorders>
              <w:top w:val="nil"/>
              <w:left w:val="nil"/>
              <w:bottom w:val="nil"/>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r w:rsidRPr="00D440C9">
              <w:rPr>
                <w:rFonts w:ascii="Arial" w:hAnsi="Arial" w:cs="Arial"/>
                <w:sz w:val="18"/>
                <w:szCs w:val="18"/>
                <w:lang w:val="en-GB" w:eastAsia="en-GB"/>
              </w:rPr>
              <w:t>Proceeds from sale of property, plant and equipment</w:t>
            </w:r>
          </w:p>
        </w:tc>
        <w:tc>
          <w:tcPr>
            <w:tcW w:w="1418" w:type="dxa"/>
            <w:tcBorders>
              <w:top w:val="nil"/>
              <w:left w:val="nil"/>
              <w:bottom w:val="nil"/>
              <w:right w:val="nil"/>
            </w:tcBorders>
            <w:shd w:val="clear" w:color="auto" w:fill="auto"/>
            <w:noWrap/>
            <w:vAlign w:val="bottom"/>
            <w:hideMark/>
          </w:tcPr>
          <w:p w:rsidR="00B81296" w:rsidRPr="00D440C9" w:rsidRDefault="00B81296" w:rsidP="00991C20">
            <w:pPr>
              <w:jc w:val="right"/>
              <w:rPr>
                <w:rFonts w:ascii="Arial" w:hAnsi="Arial" w:cs="Arial"/>
                <w:b/>
                <w:bCs/>
                <w:sz w:val="18"/>
                <w:szCs w:val="18"/>
                <w:lang w:val="en-GB" w:eastAsia="en-GB"/>
              </w:rPr>
            </w:pPr>
            <w:r>
              <w:rPr>
                <w:rFonts w:ascii="Arial" w:hAnsi="Arial" w:cs="Arial"/>
                <w:b/>
                <w:bCs/>
                <w:sz w:val="18"/>
                <w:szCs w:val="18"/>
                <w:lang w:val="en-GB" w:eastAsia="en-GB"/>
              </w:rPr>
              <w:t>83</w:t>
            </w:r>
          </w:p>
        </w:tc>
        <w:tc>
          <w:tcPr>
            <w:tcW w:w="1417" w:type="dxa"/>
            <w:tcBorders>
              <w:top w:val="nil"/>
              <w:left w:val="nil"/>
              <w:bottom w:val="nil"/>
              <w:right w:val="nil"/>
            </w:tcBorders>
            <w:shd w:val="clear" w:color="auto" w:fill="auto"/>
            <w:noWrap/>
            <w:vAlign w:val="bottom"/>
            <w:hideMark/>
          </w:tcPr>
          <w:p w:rsidR="00B81296" w:rsidRPr="00B81296" w:rsidRDefault="00B81296" w:rsidP="001E7739">
            <w:pPr>
              <w:jc w:val="right"/>
              <w:rPr>
                <w:rFonts w:ascii="Arial" w:hAnsi="Arial" w:cs="Arial"/>
                <w:bCs/>
                <w:sz w:val="18"/>
                <w:szCs w:val="18"/>
              </w:rPr>
            </w:pPr>
            <w:r w:rsidRPr="00B81296">
              <w:rPr>
                <w:rFonts w:ascii="Arial" w:hAnsi="Arial" w:cs="Arial"/>
                <w:bCs/>
                <w:sz w:val="18"/>
                <w:szCs w:val="18"/>
              </w:rPr>
              <w:t>-</w:t>
            </w:r>
          </w:p>
        </w:tc>
      </w:tr>
      <w:tr w:rsidR="00B81296" w:rsidRPr="00D440C9" w:rsidTr="00991C20">
        <w:trPr>
          <w:trHeight w:val="240"/>
        </w:trPr>
        <w:tc>
          <w:tcPr>
            <w:tcW w:w="4820" w:type="dxa"/>
            <w:tcBorders>
              <w:top w:val="nil"/>
              <w:left w:val="nil"/>
              <w:bottom w:val="nil"/>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r w:rsidRPr="00D440C9">
              <w:rPr>
                <w:rFonts w:ascii="Arial" w:hAnsi="Arial" w:cs="Arial"/>
                <w:sz w:val="18"/>
                <w:szCs w:val="18"/>
                <w:lang w:val="en-GB" w:eastAsia="en-GB"/>
              </w:rPr>
              <w:t>Other long term assets</w:t>
            </w:r>
          </w:p>
        </w:tc>
        <w:tc>
          <w:tcPr>
            <w:tcW w:w="1984" w:type="dxa"/>
            <w:gridSpan w:val="2"/>
            <w:tcBorders>
              <w:top w:val="nil"/>
              <w:left w:val="nil"/>
              <w:bottom w:val="nil"/>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418" w:type="dxa"/>
            <w:tcBorders>
              <w:top w:val="nil"/>
              <w:left w:val="nil"/>
              <w:bottom w:val="nil"/>
              <w:right w:val="nil"/>
            </w:tcBorders>
            <w:shd w:val="clear" w:color="auto" w:fill="auto"/>
            <w:noWrap/>
            <w:vAlign w:val="bottom"/>
            <w:hideMark/>
          </w:tcPr>
          <w:p w:rsidR="00B81296" w:rsidRDefault="00B81296" w:rsidP="001E7739">
            <w:pPr>
              <w:jc w:val="right"/>
              <w:rPr>
                <w:rFonts w:ascii="Arial" w:hAnsi="Arial" w:cs="Arial"/>
                <w:b/>
                <w:bCs/>
                <w:sz w:val="18"/>
                <w:szCs w:val="18"/>
              </w:rPr>
            </w:pPr>
            <w:r>
              <w:rPr>
                <w:rFonts w:ascii="Arial" w:hAnsi="Arial" w:cs="Arial"/>
                <w:b/>
                <w:bCs/>
                <w:sz w:val="18"/>
                <w:szCs w:val="18"/>
              </w:rPr>
              <w:t>(28)</w:t>
            </w:r>
          </w:p>
        </w:tc>
        <w:tc>
          <w:tcPr>
            <w:tcW w:w="1417" w:type="dxa"/>
            <w:tcBorders>
              <w:top w:val="nil"/>
              <w:left w:val="nil"/>
              <w:bottom w:val="nil"/>
              <w:right w:val="nil"/>
            </w:tcBorders>
            <w:shd w:val="clear" w:color="auto" w:fill="auto"/>
            <w:noWrap/>
            <w:vAlign w:val="bottom"/>
            <w:hideMark/>
          </w:tcPr>
          <w:p w:rsidR="00B81296" w:rsidRPr="00C95EDA" w:rsidRDefault="00B81296"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5</w:t>
            </w:r>
          </w:p>
        </w:tc>
      </w:tr>
      <w:tr w:rsidR="00B81296" w:rsidRPr="00D440C9" w:rsidTr="00991C20">
        <w:trPr>
          <w:trHeight w:val="240"/>
        </w:trPr>
        <w:tc>
          <w:tcPr>
            <w:tcW w:w="4820" w:type="dxa"/>
            <w:tcBorders>
              <w:top w:val="single" w:sz="4" w:space="0" w:color="auto"/>
              <w:left w:val="nil"/>
              <w:bottom w:val="single" w:sz="4" w:space="0" w:color="auto"/>
              <w:right w:val="nil"/>
            </w:tcBorders>
            <w:shd w:val="clear" w:color="000000" w:fill="FFFFFF"/>
            <w:noWrap/>
            <w:vAlign w:val="bottom"/>
            <w:hideMark/>
          </w:tcPr>
          <w:p w:rsidR="00B81296" w:rsidRPr="00D440C9" w:rsidRDefault="00B81296" w:rsidP="00991C20">
            <w:pPr>
              <w:rPr>
                <w:rFonts w:ascii="Arial" w:hAnsi="Arial" w:cs="Arial"/>
                <w:b/>
                <w:bCs/>
                <w:sz w:val="18"/>
                <w:szCs w:val="18"/>
                <w:lang w:val="en-GB" w:eastAsia="en-GB"/>
              </w:rPr>
            </w:pPr>
            <w:r w:rsidRPr="00D440C9">
              <w:rPr>
                <w:rFonts w:ascii="Arial" w:hAnsi="Arial" w:cs="Arial"/>
                <w:b/>
                <w:bCs/>
                <w:sz w:val="18"/>
                <w:szCs w:val="18"/>
                <w:lang w:val="en-GB" w:eastAsia="en-GB"/>
              </w:rPr>
              <w:t>Net cash used in investing activities</w:t>
            </w:r>
          </w:p>
        </w:tc>
        <w:tc>
          <w:tcPr>
            <w:tcW w:w="1984" w:type="dxa"/>
            <w:gridSpan w:val="2"/>
            <w:tcBorders>
              <w:top w:val="single" w:sz="4" w:space="0" w:color="auto"/>
              <w:left w:val="nil"/>
              <w:bottom w:val="single" w:sz="4" w:space="0" w:color="auto"/>
              <w:right w:val="nil"/>
            </w:tcBorders>
            <w:shd w:val="clear" w:color="000000" w:fill="FFFFFF"/>
            <w:noWrap/>
            <w:vAlign w:val="bottom"/>
            <w:hideMark/>
          </w:tcPr>
          <w:p w:rsidR="00B81296" w:rsidRPr="00D440C9" w:rsidRDefault="00B81296"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418" w:type="dxa"/>
            <w:tcBorders>
              <w:top w:val="single" w:sz="4" w:space="0" w:color="auto"/>
              <w:left w:val="nil"/>
              <w:bottom w:val="single" w:sz="4" w:space="0" w:color="auto"/>
              <w:right w:val="nil"/>
            </w:tcBorders>
            <w:shd w:val="clear" w:color="auto" w:fill="auto"/>
            <w:noWrap/>
            <w:vAlign w:val="bottom"/>
            <w:hideMark/>
          </w:tcPr>
          <w:p w:rsidR="00B81296" w:rsidRDefault="00B81296" w:rsidP="001E7739">
            <w:pPr>
              <w:jc w:val="right"/>
              <w:rPr>
                <w:rFonts w:ascii="Arial" w:hAnsi="Arial" w:cs="Arial"/>
                <w:b/>
                <w:bCs/>
                <w:sz w:val="18"/>
                <w:szCs w:val="18"/>
              </w:rPr>
            </w:pPr>
            <w:r>
              <w:rPr>
                <w:rFonts w:ascii="Arial" w:hAnsi="Arial" w:cs="Arial"/>
                <w:b/>
                <w:bCs/>
                <w:sz w:val="18"/>
                <w:szCs w:val="18"/>
              </w:rPr>
              <w:t>(1,288)</w:t>
            </w:r>
          </w:p>
        </w:tc>
        <w:tc>
          <w:tcPr>
            <w:tcW w:w="1417" w:type="dxa"/>
            <w:tcBorders>
              <w:top w:val="single" w:sz="4" w:space="0" w:color="auto"/>
              <w:left w:val="nil"/>
              <w:bottom w:val="single" w:sz="4" w:space="0" w:color="auto"/>
              <w:right w:val="nil"/>
            </w:tcBorders>
            <w:shd w:val="clear" w:color="auto" w:fill="auto"/>
            <w:noWrap/>
            <w:vAlign w:val="bottom"/>
            <w:hideMark/>
          </w:tcPr>
          <w:p w:rsidR="00B81296" w:rsidRPr="00C95EDA" w:rsidRDefault="00B81296"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(4,077)</w:t>
            </w:r>
          </w:p>
        </w:tc>
      </w:tr>
      <w:tr w:rsidR="00C95EDA" w:rsidRPr="00D440C9" w:rsidTr="00991C20">
        <w:trPr>
          <w:trHeight w:val="240"/>
        </w:trPr>
        <w:tc>
          <w:tcPr>
            <w:tcW w:w="4820" w:type="dxa"/>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984" w:type="dxa"/>
            <w:gridSpan w:val="2"/>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418"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eastAsia="en-GB"/>
              </w:rPr>
            </w:pPr>
          </w:p>
        </w:tc>
      </w:tr>
      <w:tr w:rsidR="00C95EDA" w:rsidRPr="00D440C9" w:rsidTr="00991C20">
        <w:trPr>
          <w:trHeight w:val="240"/>
        </w:trPr>
        <w:tc>
          <w:tcPr>
            <w:tcW w:w="4820" w:type="dxa"/>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Cash flows from financing activities</w:t>
            </w:r>
          </w:p>
        </w:tc>
        <w:tc>
          <w:tcPr>
            <w:tcW w:w="1984" w:type="dxa"/>
            <w:gridSpan w:val="2"/>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418"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eastAsia="en-GB"/>
              </w:rPr>
            </w:pPr>
          </w:p>
        </w:tc>
      </w:tr>
      <w:tr w:rsidR="00C95EDA" w:rsidRPr="00D440C9" w:rsidTr="00991C20">
        <w:trPr>
          <w:trHeight w:val="240"/>
        </w:trPr>
        <w:tc>
          <w:tcPr>
            <w:tcW w:w="4820" w:type="dxa"/>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Proceeds from issue of ordinary shares</w:t>
            </w:r>
          </w:p>
        </w:tc>
        <w:tc>
          <w:tcPr>
            <w:tcW w:w="1984" w:type="dxa"/>
            <w:gridSpan w:val="2"/>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418" w:type="dxa"/>
            <w:tcBorders>
              <w:top w:val="nil"/>
              <w:left w:val="nil"/>
              <w:bottom w:val="nil"/>
              <w:right w:val="nil"/>
            </w:tcBorders>
            <w:shd w:val="clear" w:color="auto" w:fill="auto"/>
            <w:noWrap/>
            <w:vAlign w:val="bottom"/>
            <w:hideMark/>
          </w:tcPr>
          <w:p w:rsidR="00C95EDA" w:rsidRPr="00D440C9" w:rsidRDefault="00B81296" w:rsidP="00B92C9F">
            <w:pPr>
              <w:jc w:val="right"/>
              <w:rPr>
                <w:rFonts w:ascii="Arial" w:hAnsi="Arial" w:cs="Arial"/>
                <w:b/>
                <w:bCs/>
                <w:sz w:val="18"/>
                <w:szCs w:val="18"/>
                <w:lang w:val="en-GB" w:eastAsia="en-GB"/>
              </w:rPr>
            </w:pPr>
            <w:r>
              <w:rPr>
                <w:rFonts w:ascii="Arial" w:hAnsi="Arial" w:cs="Arial"/>
                <w:b/>
                <w:bCs/>
                <w:sz w:val="18"/>
                <w:szCs w:val="18"/>
                <w:lang w:val="en-GB" w:eastAsia="en-GB"/>
              </w:rPr>
              <w:t>137</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991</w:t>
            </w:r>
          </w:p>
        </w:tc>
      </w:tr>
      <w:tr w:rsidR="00C95EDA" w:rsidRPr="00D440C9" w:rsidTr="00991C20">
        <w:trPr>
          <w:trHeight w:val="240"/>
        </w:trPr>
        <w:tc>
          <w:tcPr>
            <w:tcW w:w="4820" w:type="dxa"/>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Dividends paid</w:t>
            </w:r>
          </w:p>
        </w:tc>
        <w:tc>
          <w:tcPr>
            <w:tcW w:w="1984" w:type="dxa"/>
            <w:gridSpan w:val="2"/>
            <w:tcBorders>
              <w:top w:val="nil"/>
              <w:left w:val="nil"/>
              <w:bottom w:val="nil"/>
              <w:right w:val="nil"/>
            </w:tcBorders>
            <w:shd w:val="clear" w:color="000000" w:fill="FFFFFF"/>
            <w:noWrap/>
            <w:vAlign w:val="bottom"/>
            <w:hideMark/>
          </w:tcPr>
          <w:p w:rsidR="00C95EDA" w:rsidRPr="00D440C9" w:rsidRDefault="00C95EDA" w:rsidP="00F9571E">
            <w:pPr>
              <w:jc w:val="center"/>
              <w:rPr>
                <w:rFonts w:ascii="Arial" w:hAnsi="Arial" w:cs="Arial"/>
                <w:sz w:val="18"/>
                <w:szCs w:val="18"/>
                <w:lang w:val="en-GB" w:eastAsia="en-GB"/>
              </w:rPr>
            </w:pPr>
          </w:p>
        </w:tc>
        <w:tc>
          <w:tcPr>
            <w:tcW w:w="1418" w:type="dxa"/>
            <w:tcBorders>
              <w:top w:val="nil"/>
              <w:left w:val="nil"/>
              <w:bottom w:val="nil"/>
              <w:right w:val="nil"/>
            </w:tcBorders>
            <w:shd w:val="clear" w:color="auto" w:fill="auto"/>
            <w:noWrap/>
            <w:vAlign w:val="bottom"/>
            <w:hideMark/>
          </w:tcPr>
          <w:p w:rsidR="00C95EDA" w:rsidRPr="00D440C9" w:rsidRDefault="00C95EDA" w:rsidP="009D5327">
            <w:pPr>
              <w:jc w:val="right"/>
              <w:rPr>
                <w:rFonts w:ascii="Arial" w:hAnsi="Arial" w:cs="Arial"/>
                <w:b/>
                <w:bCs/>
                <w:sz w:val="18"/>
                <w:szCs w:val="18"/>
                <w:lang w:val="en-GB" w:eastAsia="en-GB"/>
              </w:rPr>
            </w:pPr>
            <w:r w:rsidRPr="00D440C9">
              <w:rPr>
                <w:rFonts w:ascii="Arial" w:hAnsi="Arial" w:cs="Arial"/>
                <w:b/>
                <w:bCs/>
                <w:sz w:val="18"/>
                <w:szCs w:val="18"/>
                <w:lang w:val="en-GB" w:eastAsia="en-GB"/>
              </w:rPr>
              <w:t>(5,</w:t>
            </w:r>
            <w:r w:rsidR="00B81296">
              <w:rPr>
                <w:rFonts w:ascii="Arial" w:hAnsi="Arial" w:cs="Arial"/>
                <w:b/>
                <w:bCs/>
                <w:sz w:val="18"/>
                <w:szCs w:val="18"/>
                <w:lang w:val="en-GB" w:eastAsia="en-GB"/>
              </w:rPr>
              <w:t>412</w:t>
            </w:r>
            <w:r w:rsidRPr="00D440C9">
              <w:rPr>
                <w:rFonts w:ascii="Arial" w:hAnsi="Arial" w:cs="Arial"/>
                <w:b/>
                <w:bCs/>
                <w:sz w:val="18"/>
                <w:szCs w:val="18"/>
                <w:lang w:val="en-GB" w:eastAsia="en-GB"/>
              </w:rPr>
              <w:t>)</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(5,233)</w:t>
            </w:r>
          </w:p>
        </w:tc>
      </w:tr>
      <w:tr w:rsidR="00C95EDA" w:rsidRPr="00D440C9" w:rsidTr="00991C20">
        <w:trPr>
          <w:trHeight w:val="240"/>
        </w:trPr>
        <w:tc>
          <w:tcPr>
            <w:tcW w:w="4820" w:type="dxa"/>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Purchase of own shares</w:t>
            </w:r>
          </w:p>
        </w:tc>
        <w:tc>
          <w:tcPr>
            <w:tcW w:w="1984" w:type="dxa"/>
            <w:gridSpan w:val="2"/>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418" w:type="dxa"/>
            <w:tcBorders>
              <w:top w:val="nil"/>
              <w:left w:val="nil"/>
              <w:bottom w:val="nil"/>
              <w:right w:val="nil"/>
            </w:tcBorders>
            <w:shd w:val="clear" w:color="auto" w:fill="auto"/>
            <w:noWrap/>
            <w:vAlign w:val="bottom"/>
            <w:hideMark/>
          </w:tcPr>
          <w:p w:rsidR="00C95EDA" w:rsidRPr="00D440C9" w:rsidRDefault="00B81296" w:rsidP="00991C20">
            <w:pPr>
              <w:jc w:val="right"/>
              <w:rPr>
                <w:rFonts w:ascii="Arial" w:hAnsi="Arial" w:cs="Arial"/>
                <w:b/>
                <w:bCs/>
                <w:sz w:val="18"/>
                <w:szCs w:val="18"/>
                <w:lang w:val="en-GB" w:eastAsia="en-GB"/>
              </w:rPr>
            </w:pPr>
            <w:r>
              <w:rPr>
                <w:rFonts w:ascii="Arial" w:hAnsi="Arial" w:cs="Arial"/>
                <w:b/>
                <w:bCs/>
                <w:sz w:val="18"/>
                <w:szCs w:val="18"/>
                <w:lang w:val="en-GB" w:eastAsia="en-GB"/>
              </w:rPr>
              <w:t>(148</w:t>
            </w:r>
            <w:r w:rsidR="00C95EDA" w:rsidRPr="00D440C9">
              <w:rPr>
                <w:rFonts w:ascii="Arial" w:hAnsi="Arial" w:cs="Arial"/>
                <w:b/>
                <w:bCs/>
                <w:sz w:val="18"/>
                <w:szCs w:val="18"/>
                <w:lang w:val="en-GB" w:eastAsia="en-GB"/>
              </w:rPr>
              <w:t>)</w:t>
            </w:r>
          </w:p>
        </w:tc>
        <w:tc>
          <w:tcPr>
            <w:tcW w:w="1417" w:type="dxa"/>
            <w:tcBorders>
              <w:top w:val="nil"/>
              <w:left w:val="nil"/>
              <w:bottom w:val="nil"/>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(1,222)</w:t>
            </w:r>
          </w:p>
        </w:tc>
      </w:tr>
      <w:tr w:rsidR="00C95EDA" w:rsidRPr="00D440C9" w:rsidTr="00991C20">
        <w:trPr>
          <w:trHeight w:val="240"/>
        </w:trPr>
        <w:tc>
          <w:tcPr>
            <w:tcW w:w="4820" w:type="dxa"/>
            <w:tcBorders>
              <w:top w:val="single" w:sz="4" w:space="0" w:color="auto"/>
              <w:left w:val="nil"/>
              <w:bottom w:val="single" w:sz="4" w:space="0" w:color="auto"/>
              <w:right w:val="nil"/>
            </w:tcBorders>
            <w:shd w:val="clear" w:color="000000" w:fill="FFFFFF"/>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Net cash used in financing activities</w:t>
            </w:r>
          </w:p>
        </w:tc>
        <w:tc>
          <w:tcPr>
            <w:tcW w:w="1984" w:type="dxa"/>
            <w:gridSpan w:val="2"/>
            <w:tcBorders>
              <w:top w:val="single" w:sz="4" w:space="0" w:color="auto"/>
              <w:left w:val="nil"/>
              <w:bottom w:val="single" w:sz="4" w:space="0" w:color="auto"/>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418" w:type="dxa"/>
            <w:tcBorders>
              <w:top w:val="single" w:sz="4" w:space="0" w:color="auto"/>
              <w:left w:val="nil"/>
              <w:bottom w:val="single" w:sz="4" w:space="0" w:color="auto"/>
              <w:right w:val="nil"/>
            </w:tcBorders>
            <w:shd w:val="clear" w:color="auto" w:fill="auto"/>
            <w:noWrap/>
            <w:vAlign w:val="bottom"/>
            <w:hideMark/>
          </w:tcPr>
          <w:p w:rsidR="00C95EDA" w:rsidRPr="00D440C9" w:rsidRDefault="00C95EDA" w:rsidP="009D5327">
            <w:pPr>
              <w:jc w:val="right"/>
              <w:rPr>
                <w:rFonts w:ascii="Arial" w:hAnsi="Arial" w:cs="Arial"/>
                <w:b/>
                <w:bCs/>
                <w:sz w:val="18"/>
                <w:szCs w:val="18"/>
                <w:lang w:val="en-GB" w:eastAsia="en-GB"/>
              </w:rPr>
            </w:pPr>
            <w:r w:rsidRPr="00D440C9">
              <w:rPr>
                <w:rFonts w:ascii="Arial" w:hAnsi="Arial" w:cs="Arial"/>
                <w:b/>
                <w:bCs/>
                <w:sz w:val="18"/>
                <w:szCs w:val="18"/>
                <w:lang w:val="en-GB" w:eastAsia="en-GB"/>
              </w:rPr>
              <w:t>(5,</w:t>
            </w:r>
            <w:r w:rsidR="00B81296">
              <w:rPr>
                <w:rFonts w:ascii="Arial" w:hAnsi="Arial" w:cs="Arial"/>
                <w:b/>
                <w:bCs/>
                <w:sz w:val="18"/>
                <w:szCs w:val="18"/>
                <w:lang w:val="en-GB" w:eastAsia="en-GB"/>
              </w:rPr>
              <w:t>423</w:t>
            </w:r>
            <w:r w:rsidRPr="00D440C9">
              <w:rPr>
                <w:rFonts w:ascii="Arial" w:hAnsi="Arial" w:cs="Arial"/>
                <w:b/>
                <w:bCs/>
                <w:sz w:val="18"/>
                <w:szCs w:val="18"/>
                <w:lang w:val="en-GB" w:eastAsia="en-GB"/>
              </w:rPr>
              <w:t>)</w:t>
            </w:r>
          </w:p>
        </w:tc>
        <w:tc>
          <w:tcPr>
            <w:tcW w:w="1417" w:type="dxa"/>
            <w:tcBorders>
              <w:top w:val="single" w:sz="4" w:space="0" w:color="auto"/>
              <w:left w:val="nil"/>
              <w:bottom w:val="single" w:sz="4" w:space="0" w:color="auto"/>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(5,464)</w:t>
            </w:r>
          </w:p>
        </w:tc>
      </w:tr>
      <w:tr w:rsidR="00C95EDA" w:rsidRPr="00D440C9" w:rsidTr="00991C20">
        <w:trPr>
          <w:trHeight w:val="240"/>
        </w:trPr>
        <w:tc>
          <w:tcPr>
            <w:tcW w:w="4820" w:type="dxa"/>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984" w:type="dxa"/>
            <w:gridSpan w:val="2"/>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418" w:type="dxa"/>
            <w:tcBorders>
              <w:top w:val="nil"/>
              <w:left w:val="nil"/>
              <w:bottom w:val="nil"/>
              <w:right w:val="nil"/>
            </w:tcBorders>
            <w:shd w:val="clear" w:color="auto" w:fill="auto"/>
            <w:noWrap/>
            <w:vAlign w:val="bottom"/>
            <w:hideMark/>
          </w:tcPr>
          <w:p w:rsidR="00C95EDA" w:rsidRPr="00D440C9" w:rsidRDefault="00C95EDA" w:rsidP="00991C20">
            <w:pPr>
              <w:rPr>
                <w:rFonts w:ascii="Arial" w:hAnsi="Arial" w:cs="Arial"/>
                <w:b/>
                <w:bCs/>
                <w:sz w:val="18"/>
                <w:szCs w:val="18"/>
                <w:lang w:val="en-GB" w:eastAsia="en-GB"/>
              </w:rPr>
            </w:pPr>
          </w:p>
        </w:tc>
        <w:tc>
          <w:tcPr>
            <w:tcW w:w="1417" w:type="dxa"/>
            <w:tcBorders>
              <w:top w:val="nil"/>
              <w:left w:val="nil"/>
              <w:bottom w:val="nil"/>
              <w:right w:val="nil"/>
            </w:tcBorders>
            <w:shd w:val="clear" w:color="auto" w:fill="auto"/>
            <w:noWrap/>
            <w:vAlign w:val="bottom"/>
            <w:hideMark/>
          </w:tcPr>
          <w:p w:rsidR="00C95EDA" w:rsidRPr="00C95EDA" w:rsidRDefault="00C95EDA" w:rsidP="00C95EDA">
            <w:pPr>
              <w:rPr>
                <w:rFonts w:ascii="Arial" w:hAnsi="Arial" w:cs="Arial"/>
                <w:bCs/>
                <w:sz w:val="18"/>
                <w:szCs w:val="18"/>
                <w:lang w:val="en-GB" w:eastAsia="en-GB"/>
              </w:rPr>
            </w:pPr>
          </w:p>
        </w:tc>
      </w:tr>
      <w:tr w:rsidR="00C95EDA" w:rsidRPr="009D5327" w:rsidTr="00991C20">
        <w:trPr>
          <w:trHeight w:val="240"/>
        </w:trPr>
        <w:tc>
          <w:tcPr>
            <w:tcW w:w="6804" w:type="dxa"/>
            <w:gridSpan w:val="3"/>
            <w:tcBorders>
              <w:top w:val="nil"/>
              <w:left w:val="nil"/>
              <w:bottom w:val="nil"/>
              <w:right w:val="nil"/>
            </w:tcBorders>
            <w:shd w:val="clear" w:color="000000" w:fill="FFFFFF"/>
            <w:noWrap/>
            <w:vAlign w:val="bottom"/>
            <w:hideMark/>
          </w:tcPr>
          <w:p w:rsidR="00C95EDA" w:rsidRPr="00D440C9" w:rsidRDefault="001E7739" w:rsidP="001E7739">
            <w:pPr>
              <w:rPr>
                <w:rFonts w:ascii="Arial" w:hAnsi="Arial" w:cs="Arial"/>
                <w:b/>
                <w:bCs/>
                <w:sz w:val="18"/>
                <w:szCs w:val="18"/>
                <w:lang w:val="en-GB" w:eastAsia="en-GB"/>
              </w:rPr>
            </w:pPr>
            <w:r>
              <w:rPr>
                <w:rFonts w:ascii="Arial" w:hAnsi="Arial" w:cs="Arial"/>
                <w:b/>
                <w:bCs/>
                <w:sz w:val="18"/>
                <w:szCs w:val="18"/>
                <w:lang w:val="en-GB" w:eastAsia="en-GB"/>
              </w:rPr>
              <w:t>In</w:t>
            </w:r>
            <w:r w:rsidR="00C95EDA" w:rsidRPr="00D440C9">
              <w:rPr>
                <w:rFonts w:ascii="Arial" w:hAnsi="Arial" w:cs="Arial"/>
                <w:b/>
                <w:bCs/>
                <w:sz w:val="18"/>
                <w:szCs w:val="18"/>
                <w:lang w:val="en-GB" w:eastAsia="en-GB"/>
              </w:rPr>
              <w:t xml:space="preserve">crease / </w:t>
            </w:r>
            <w:r>
              <w:rPr>
                <w:rFonts w:ascii="Arial" w:hAnsi="Arial" w:cs="Arial"/>
                <w:b/>
                <w:bCs/>
                <w:sz w:val="18"/>
                <w:szCs w:val="18"/>
                <w:lang w:val="en-GB" w:eastAsia="en-GB"/>
              </w:rPr>
              <w:t>(de</w:t>
            </w:r>
            <w:r w:rsidR="00C95EDA" w:rsidRPr="00D440C9">
              <w:rPr>
                <w:rFonts w:ascii="Arial" w:hAnsi="Arial" w:cs="Arial"/>
                <w:b/>
                <w:bCs/>
                <w:sz w:val="18"/>
                <w:szCs w:val="18"/>
                <w:lang w:val="en-GB" w:eastAsia="en-GB"/>
              </w:rPr>
              <w:t>crease</w:t>
            </w:r>
            <w:r>
              <w:rPr>
                <w:rFonts w:ascii="Arial" w:hAnsi="Arial" w:cs="Arial"/>
                <w:b/>
                <w:bCs/>
                <w:sz w:val="18"/>
                <w:szCs w:val="18"/>
                <w:lang w:val="en-GB" w:eastAsia="en-GB"/>
              </w:rPr>
              <w:t>)</w:t>
            </w:r>
            <w:r w:rsidR="00C95EDA" w:rsidRPr="00D440C9">
              <w:rPr>
                <w:rFonts w:ascii="Arial" w:hAnsi="Arial" w:cs="Arial"/>
                <w:b/>
                <w:bCs/>
                <w:sz w:val="18"/>
                <w:szCs w:val="18"/>
                <w:lang w:val="en-GB" w:eastAsia="en-GB"/>
              </w:rPr>
              <w:t xml:space="preserve"> in cash and cash equivalents</w:t>
            </w:r>
          </w:p>
        </w:tc>
        <w:tc>
          <w:tcPr>
            <w:tcW w:w="1418" w:type="dxa"/>
            <w:tcBorders>
              <w:top w:val="nil"/>
              <w:left w:val="nil"/>
              <w:bottom w:val="nil"/>
              <w:right w:val="nil"/>
            </w:tcBorders>
            <w:shd w:val="clear" w:color="auto" w:fill="auto"/>
            <w:noWrap/>
            <w:vAlign w:val="bottom"/>
            <w:hideMark/>
          </w:tcPr>
          <w:p w:rsidR="00C95EDA" w:rsidRPr="00D440C9" w:rsidRDefault="00B81296" w:rsidP="009D5327">
            <w:pPr>
              <w:jc w:val="right"/>
              <w:rPr>
                <w:rFonts w:ascii="Arial" w:hAnsi="Arial" w:cs="Arial"/>
                <w:b/>
                <w:bCs/>
                <w:sz w:val="18"/>
                <w:szCs w:val="18"/>
                <w:lang w:val="en-GB" w:eastAsia="en-GB"/>
              </w:rPr>
            </w:pPr>
            <w:r>
              <w:rPr>
                <w:rFonts w:ascii="Arial" w:hAnsi="Arial" w:cs="Arial"/>
                <w:b/>
                <w:bCs/>
                <w:sz w:val="18"/>
                <w:szCs w:val="18"/>
                <w:lang w:val="en-GB" w:eastAsia="en-GB"/>
              </w:rPr>
              <w:t>4,911</w:t>
            </w:r>
          </w:p>
        </w:tc>
        <w:tc>
          <w:tcPr>
            <w:tcW w:w="1417" w:type="dxa"/>
            <w:tcBorders>
              <w:top w:val="nil"/>
              <w:left w:val="nil"/>
              <w:bottom w:val="nil"/>
              <w:right w:val="nil"/>
            </w:tcBorders>
            <w:shd w:val="clear" w:color="auto" w:fill="auto"/>
            <w:noWrap/>
            <w:vAlign w:val="bottom"/>
            <w:hideMark/>
          </w:tcPr>
          <w:p w:rsidR="00C95EDA" w:rsidRPr="00C95EDA" w:rsidRDefault="00C95EDA" w:rsidP="001E7739">
            <w:pPr>
              <w:jc w:val="right"/>
              <w:rPr>
                <w:rFonts w:ascii="Arial" w:hAnsi="Arial" w:cs="Arial"/>
                <w:bCs/>
                <w:sz w:val="18"/>
                <w:szCs w:val="18"/>
                <w:lang w:val="en-GB" w:eastAsia="en-GB"/>
              </w:rPr>
            </w:pPr>
            <w:r w:rsidRPr="00C95EDA">
              <w:rPr>
                <w:rFonts w:ascii="Arial" w:hAnsi="Arial" w:cs="Arial"/>
                <w:bCs/>
                <w:sz w:val="18"/>
                <w:szCs w:val="18"/>
                <w:lang w:val="en-GB" w:eastAsia="en-GB"/>
              </w:rPr>
              <w:t>(</w:t>
            </w:r>
            <w:r w:rsidR="001E7739">
              <w:rPr>
                <w:rFonts w:ascii="Arial" w:hAnsi="Arial" w:cs="Arial"/>
                <w:bCs/>
                <w:sz w:val="18"/>
                <w:szCs w:val="18"/>
                <w:lang w:val="en-GB" w:eastAsia="en-GB"/>
              </w:rPr>
              <w:t>8,184</w:t>
            </w:r>
            <w:r w:rsidRPr="00C95EDA">
              <w:rPr>
                <w:rFonts w:ascii="Arial" w:hAnsi="Arial" w:cs="Arial"/>
                <w:bCs/>
                <w:sz w:val="18"/>
                <w:szCs w:val="18"/>
                <w:lang w:val="en-GB" w:eastAsia="en-GB"/>
              </w:rPr>
              <w:t>)</w:t>
            </w:r>
          </w:p>
        </w:tc>
      </w:tr>
      <w:tr w:rsidR="00C95EDA" w:rsidRPr="009D5327" w:rsidTr="00991C20">
        <w:trPr>
          <w:trHeight w:val="240"/>
        </w:trPr>
        <w:tc>
          <w:tcPr>
            <w:tcW w:w="6804" w:type="dxa"/>
            <w:gridSpan w:val="3"/>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Cash and cash equivalents at beginning of the period</w:t>
            </w:r>
          </w:p>
        </w:tc>
        <w:tc>
          <w:tcPr>
            <w:tcW w:w="1418" w:type="dxa"/>
            <w:tcBorders>
              <w:top w:val="nil"/>
              <w:left w:val="nil"/>
              <w:bottom w:val="nil"/>
              <w:right w:val="nil"/>
            </w:tcBorders>
            <w:shd w:val="clear" w:color="auto" w:fill="auto"/>
            <w:noWrap/>
            <w:vAlign w:val="bottom"/>
            <w:hideMark/>
          </w:tcPr>
          <w:p w:rsidR="00C95EDA" w:rsidRPr="00D440C9" w:rsidRDefault="00B81296" w:rsidP="00B81296">
            <w:pPr>
              <w:jc w:val="right"/>
              <w:rPr>
                <w:rFonts w:ascii="Arial" w:hAnsi="Arial" w:cs="Arial"/>
                <w:b/>
                <w:bCs/>
                <w:sz w:val="18"/>
                <w:szCs w:val="18"/>
                <w:lang w:val="en-GB" w:eastAsia="en-GB"/>
              </w:rPr>
            </w:pPr>
            <w:r>
              <w:rPr>
                <w:rFonts w:ascii="Arial" w:hAnsi="Arial" w:cs="Arial"/>
                <w:b/>
                <w:bCs/>
                <w:sz w:val="18"/>
                <w:szCs w:val="18"/>
                <w:lang w:val="en-GB" w:eastAsia="en-GB"/>
              </w:rPr>
              <w:t>17,467</w:t>
            </w:r>
          </w:p>
        </w:tc>
        <w:tc>
          <w:tcPr>
            <w:tcW w:w="1417" w:type="dxa"/>
            <w:tcBorders>
              <w:top w:val="nil"/>
              <w:left w:val="nil"/>
              <w:bottom w:val="nil"/>
              <w:right w:val="nil"/>
            </w:tcBorders>
            <w:shd w:val="clear" w:color="auto" w:fill="auto"/>
            <w:noWrap/>
            <w:vAlign w:val="bottom"/>
            <w:hideMark/>
          </w:tcPr>
          <w:p w:rsidR="00C95EDA" w:rsidRPr="00C95EDA" w:rsidRDefault="00C95EDA" w:rsidP="001E7739">
            <w:pPr>
              <w:jc w:val="right"/>
              <w:rPr>
                <w:rFonts w:ascii="Arial" w:hAnsi="Arial" w:cs="Arial"/>
                <w:bCs/>
                <w:sz w:val="18"/>
                <w:szCs w:val="18"/>
                <w:lang w:val="en-GB" w:eastAsia="en-GB"/>
              </w:rPr>
            </w:pPr>
            <w:r w:rsidRPr="00C95EDA">
              <w:rPr>
                <w:rFonts w:ascii="Arial" w:hAnsi="Arial" w:cs="Arial"/>
                <w:bCs/>
                <w:sz w:val="18"/>
                <w:szCs w:val="18"/>
                <w:lang w:val="en-GB" w:eastAsia="en-GB"/>
              </w:rPr>
              <w:t>2</w:t>
            </w:r>
            <w:r w:rsidR="001E7739">
              <w:rPr>
                <w:rFonts w:ascii="Arial" w:hAnsi="Arial" w:cs="Arial"/>
                <w:bCs/>
                <w:sz w:val="18"/>
                <w:szCs w:val="18"/>
                <w:lang w:val="en-GB" w:eastAsia="en-GB"/>
              </w:rPr>
              <w:t>5</w:t>
            </w:r>
            <w:r w:rsidRPr="00C95EDA">
              <w:rPr>
                <w:rFonts w:ascii="Arial" w:hAnsi="Arial" w:cs="Arial"/>
                <w:bCs/>
                <w:sz w:val="18"/>
                <w:szCs w:val="18"/>
                <w:lang w:val="en-GB" w:eastAsia="en-GB"/>
              </w:rPr>
              <w:t>,</w:t>
            </w:r>
            <w:r w:rsidR="001E7739">
              <w:rPr>
                <w:rFonts w:ascii="Arial" w:hAnsi="Arial" w:cs="Arial"/>
                <w:bCs/>
                <w:sz w:val="18"/>
                <w:szCs w:val="18"/>
                <w:lang w:val="en-GB" w:eastAsia="en-GB"/>
              </w:rPr>
              <w:t>634</w:t>
            </w:r>
          </w:p>
        </w:tc>
      </w:tr>
      <w:tr w:rsidR="00C95EDA" w:rsidRPr="009D5327" w:rsidTr="00991C20">
        <w:trPr>
          <w:trHeight w:val="240"/>
        </w:trPr>
        <w:tc>
          <w:tcPr>
            <w:tcW w:w="4820" w:type="dxa"/>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Foreign exchange differences</w:t>
            </w:r>
          </w:p>
        </w:tc>
        <w:tc>
          <w:tcPr>
            <w:tcW w:w="1984" w:type="dxa"/>
            <w:gridSpan w:val="2"/>
            <w:tcBorders>
              <w:top w:val="nil"/>
              <w:left w:val="nil"/>
              <w:bottom w:val="nil"/>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418" w:type="dxa"/>
            <w:tcBorders>
              <w:top w:val="nil"/>
              <w:left w:val="nil"/>
              <w:bottom w:val="single" w:sz="4" w:space="0" w:color="auto"/>
              <w:right w:val="nil"/>
            </w:tcBorders>
            <w:shd w:val="clear" w:color="auto" w:fill="auto"/>
            <w:noWrap/>
            <w:vAlign w:val="bottom"/>
            <w:hideMark/>
          </w:tcPr>
          <w:p w:rsidR="00C95EDA" w:rsidRPr="00D440C9" w:rsidRDefault="00B81296" w:rsidP="00B92C9F">
            <w:pPr>
              <w:jc w:val="right"/>
              <w:rPr>
                <w:rFonts w:ascii="Arial" w:hAnsi="Arial" w:cs="Arial"/>
                <w:b/>
                <w:bCs/>
                <w:sz w:val="18"/>
                <w:szCs w:val="18"/>
                <w:lang w:val="en-GB" w:eastAsia="en-GB"/>
              </w:rPr>
            </w:pPr>
            <w:r>
              <w:rPr>
                <w:rFonts w:ascii="Arial" w:hAnsi="Arial" w:cs="Arial"/>
                <w:b/>
                <w:bCs/>
                <w:sz w:val="18"/>
                <w:szCs w:val="18"/>
                <w:lang w:val="en-GB" w:eastAsia="en-GB"/>
              </w:rPr>
              <w:t>899</w:t>
            </w:r>
          </w:p>
        </w:tc>
        <w:tc>
          <w:tcPr>
            <w:tcW w:w="1417" w:type="dxa"/>
            <w:tcBorders>
              <w:top w:val="nil"/>
              <w:left w:val="nil"/>
              <w:bottom w:val="single" w:sz="4" w:space="0" w:color="auto"/>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17</w:t>
            </w:r>
          </w:p>
        </w:tc>
      </w:tr>
      <w:tr w:rsidR="00C95EDA" w:rsidRPr="009D5327" w:rsidTr="00991C20">
        <w:trPr>
          <w:trHeight w:val="255"/>
        </w:trPr>
        <w:tc>
          <w:tcPr>
            <w:tcW w:w="4820" w:type="dxa"/>
            <w:tcBorders>
              <w:top w:val="single" w:sz="4" w:space="0" w:color="auto"/>
              <w:left w:val="nil"/>
              <w:bottom w:val="single" w:sz="8" w:space="0" w:color="auto"/>
              <w:right w:val="nil"/>
            </w:tcBorders>
            <w:shd w:val="clear" w:color="000000" w:fill="FFFFFF"/>
            <w:noWrap/>
            <w:vAlign w:val="bottom"/>
            <w:hideMark/>
          </w:tcPr>
          <w:p w:rsidR="00C95EDA" w:rsidRPr="00D440C9" w:rsidRDefault="00C95EDA" w:rsidP="00991C20">
            <w:pPr>
              <w:rPr>
                <w:rFonts w:ascii="Arial" w:hAnsi="Arial" w:cs="Arial"/>
                <w:b/>
                <w:bCs/>
                <w:sz w:val="18"/>
                <w:szCs w:val="18"/>
                <w:lang w:val="en-GB" w:eastAsia="en-GB"/>
              </w:rPr>
            </w:pPr>
            <w:r w:rsidRPr="00D440C9">
              <w:rPr>
                <w:rFonts w:ascii="Arial" w:hAnsi="Arial" w:cs="Arial"/>
                <w:b/>
                <w:bCs/>
                <w:sz w:val="18"/>
                <w:szCs w:val="18"/>
                <w:lang w:val="en-GB" w:eastAsia="en-GB"/>
              </w:rPr>
              <w:t>Cash and cash equivalents at end of the period</w:t>
            </w:r>
          </w:p>
        </w:tc>
        <w:tc>
          <w:tcPr>
            <w:tcW w:w="1984" w:type="dxa"/>
            <w:gridSpan w:val="2"/>
            <w:tcBorders>
              <w:top w:val="single" w:sz="4" w:space="0" w:color="auto"/>
              <w:left w:val="nil"/>
              <w:bottom w:val="single" w:sz="8" w:space="0" w:color="auto"/>
              <w:right w:val="nil"/>
            </w:tcBorders>
            <w:shd w:val="clear" w:color="000000" w:fill="FFFFFF"/>
            <w:noWrap/>
            <w:vAlign w:val="bottom"/>
            <w:hideMark/>
          </w:tcPr>
          <w:p w:rsidR="00C95EDA" w:rsidRPr="00D440C9" w:rsidRDefault="00C95EDA"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1418" w:type="dxa"/>
            <w:tcBorders>
              <w:top w:val="single" w:sz="4" w:space="0" w:color="auto"/>
              <w:left w:val="nil"/>
              <w:bottom w:val="single" w:sz="8" w:space="0" w:color="auto"/>
              <w:right w:val="nil"/>
            </w:tcBorders>
            <w:shd w:val="clear" w:color="auto" w:fill="auto"/>
            <w:noWrap/>
            <w:vAlign w:val="bottom"/>
            <w:hideMark/>
          </w:tcPr>
          <w:p w:rsidR="00C95EDA" w:rsidRPr="00D440C9" w:rsidRDefault="00B81296" w:rsidP="00B81296">
            <w:pPr>
              <w:jc w:val="right"/>
              <w:rPr>
                <w:rFonts w:ascii="Arial" w:hAnsi="Arial" w:cs="Arial"/>
                <w:b/>
                <w:bCs/>
                <w:sz w:val="18"/>
                <w:szCs w:val="18"/>
                <w:lang w:val="en-GB" w:eastAsia="en-GB"/>
              </w:rPr>
            </w:pPr>
            <w:r>
              <w:rPr>
                <w:rFonts w:ascii="Arial" w:hAnsi="Arial" w:cs="Arial"/>
                <w:b/>
                <w:bCs/>
                <w:sz w:val="18"/>
                <w:szCs w:val="18"/>
                <w:lang w:val="en-GB" w:eastAsia="en-GB"/>
              </w:rPr>
              <w:t>23</w:t>
            </w:r>
            <w:r w:rsidR="00C95EDA" w:rsidRPr="00D440C9">
              <w:rPr>
                <w:rFonts w:ascii="Arial" w:hAnsi="Arial" w:cs="Arial"/>
                <w:b/>
                <w:bCs/>
                <w:sz w:val="18"/>
                <w:szCs w:val="18"/>
                <w:lang w:val="en-GB" w:eastAsia="en-GB"/>
              </w:rPr>
              <w:t>,</w:t>
            </w:r>
            <w:r>
              <w:rPr>
                <w:rFonts w:ascii="Arial" w:hAnsi="Arial" w:cs="Arial"/>
                <w:b/>
                <w:bCs/>
                <w:sz w:val="18"/>
                <w:szCs w:val="18"/>
                <w:lang w:val="en-GB" w:eastAsia="en-GB"/>
              </w:rPr>
              <w:t>27</w:t>
            </w:r>
            <w:r w:rsidR="00C95EDA">
              <w:rPr>
                <w:rFonts w:ascii="Arial" w:hAnsi="Arial" w:cs="Arial"/>
                <w:b/>
                <w:bCs/>
                <w:sz w:val="18"/>
                <w:szCs w:val="18"/>
                <w:lang w:val="en-GB" w:eastAsia="en-GB"/>
              </w:rPr>
              <w:t>7</w:t>
            </w:r>
          </w:p>
        </w:tc>
        <w:tc>
          <w:tcPr>
            <w:tcW w:w="1417" w:type="dxa"/>
            <w:tcBorders>
              <w:top w:val="single" w:sz="4" w:space="0" w:color="auto"/>
              <w:left w:val="nil"/>
              <w:bottom w:val="single" w:sz="8" w:space="0" w:color="auto"/>
              <w:right w:val="nil"/>
            </w:tcBorders>
            <w:shd w:val="clear" w:color="auto" w:fill="auto"/>
            <w:noWrap/>
            <w:vAlign w:val="bottom"/>
            <w:hideMark/>
          </w:tcPr>
          <w:p w:rsidR="00C95EDA" w:rsidRPr="00C95EDA" w:rsidRDefault="00C95EDA" w:rsidP="00C95EDA">
            <w:pPr>
              <w:jc w:val="right"/>
              <w:rPr>
                <w:rFonts w:ascii="Arial" w:hAnsi="Arial" w:cs="Arial"/>
                <w:bCs/>
                <w:sz w:val="18"/>
                <w:szCs w:val="18"/>
                <w:lang w:val="en-GB" w:eastAsia="en-GB"/>
              </w:rPr>
            </w:pPr>
            <w:r w:rsidRPr="00C95EDA">
              <w:rPr>
                <w:rFonts w:ascii="Arial" w:hAnsi="Arial" w:cs="Arial"/>
                <w:bCs/>
                <w:sz w:val="18"/>
                <w:szCs w:val="18"/>
                <w:lang w:val="en-GB" w:eastAsia="en-GB"/>
              </w:rPr>
              <w:t>17,467</w:t>
            </w:r>
          </w:p>
        </w:tc>
      </w:tr>
    </w:tbl>
    <w:p w:rsidR="000433F6" w:rsidRPr="00D440C9" w:rsidRDefault="00B10E8F">
      <w:pPr>
        <w:pStyle w:val="HTMLPreformatted"/>
        <w:rPr>
          <w:rFonts w:ascii="Arial" w:hAnsi="Arial" w:cs="Arial"/>
          <w:b/>
          <w:bCs/>
        </w:rPr>
      </w:pPr>
      <w:r w:rsidRPr="00D440C9">
        <w:br w:type="page"/>
      </w:r>
      <w:r w:rsidR="000433F6" w:rsidRPr="00D440C9">
        <w:rPr>
          <w:rFonts w:ascii="Arial" w:hAnsi="Arial" w:cs="Arial"/>
          <w:b/>
          <w:bCs/>
        </w:rPr>
        <w:lastRenderedPageBreak/>
        <w:t>Braemar Shipping Services PLC</w:t>
      </w:r>
    </w:p>
    <w:p w:rsidR="000433F6" w:rsidRPr="00D440C9" w:rsidRDefault="00DA05C4">
      <w:pPr>
        <w:rPr>
          <w:rFonts w:ascii="Arial" w:hAnsi="Arial" w:cs="Arial"/>
          <w:sz w:val="16"/>
          <w:lang w:val="en-GB"/>
        </w:rPr>
      </w:pPr>
      <w:r w:rsidRPr="00DA05C4">
        <w:rPr>
          <w:rFonts w:ascii="Arial" w:hAnsi="Arial" w:cs="Arial"/>
          <w:b/>
          <w:bCs/>
          <w:sz w:val="22"/>
          <w:szCs w:val="22"/>
          <w:lang w:val="en-GB"/>
        </w:rPr>
        <w:t>A</w:t>
      </w:r>
      <w:r w:rsidR="008C4395" w:rsidRPr="00DA05C4">
        <w:rPr>
          <w:rFonts w:ascii="Arial" w:hAnsi="Arial" w:cs="Arial"/>
          <w:b/>
          <w:bCs/>
          <w:sz w:val="22"/>
          <w:szCs w:val="22"/>
          <w:lang w:val="en-GB"/>
        </w:rPr>
        <w:t xml:space="preserve">udited </w:t>
      </w:r>
      <w:r w:rsidR="000433F6" w:rsidRPr="00DA05C4">
        <w:rPr>
          <w:rFonts w:ascii="Arial" w:hAnsi="Arial" w:cs="Arial"/>
          <w:b/>
          <w:bCs/>
          <w:sz w:val="22"/>
          <w:szCs w:val="22"/>
          <w:lang w:val="en-GB"/>
        </w:rPr>
        <w:t>Consolidated Statement of Changes in Total Equity</w:t>
      </w:r>
      <w:r w:rsidR="000433F6" w:rsidRPr="00DA05C4">
        <w:rPr>
          <w:rFonts w:ascii="Arial" w:hAnsi="Arial" w:cs="Arial"/>
          <w:b/>
          <w:bCs/>
          <w:lang w:val="en-GB"/>
        </w:rPr>
        <w:t xml:space="preserve"> </w:t>
      </w:r>
      <w:r w:rsidR="000F6B23" w:rsidRPr="00DA05C4">
        <w:rPr>
          <w:rFonts w:ascii="Arial" w:hAnsi="Arial" w:cs="Arial"/>
          <w:sz w:val="16"/>
          <w:lang w:val="en-GB"/>
        </w:rPr>
        <w:t>for the year ended 2</w:t>
      </w:r>
      <w:r w:rsidR="001E7739">
        <w:rPr>
          <w:rFonts w:ascii="Arial" w:hAnsi="Arial" w:cs="Arial"/>
          <w:sz w:val="16"/>
          <w:lang w:val="en-GB"/>
        </w:rPr>
        <w:t>8</w:t>
      </w:r>
      <w:r w:rsidR="000F6B23" w:rsidRPr="00DA05C4">
        <w:rPr>
          <w:rFonts w:ascii="Arial" w:hAnsi="Arial" w:cs="Arial"/>
          <w:sz w:val="16"/>
          <w:lang w:val="en-GB"/>
        </w:rPr>
        <w:t xml:space="preserve"> February 20</w:t>
      </w:r>
      <w:r w:rsidR="00D9454D" w:rsidRPr="00DA05C4">
        <w:rPr>
          <w:rFonts w:ascii="Arial" w:hAnsi="Arial" w:cs="Arial"/>
          <w:sz w:val="16"/>
          <w:lang w:val="en-GB"/>
        </w:rPr>
        <w:t>1</w:t>
      </w:r>
      <w:r w:rsidR="001E7739">
        <w:rPr>
          <w:rFonts w:ascii="Arial" w:hAnsi="Arial" w:cs="Arial"/>
          <w:sz w:val="16"/>
          <w:lang w:val="en-GB"/>
        </w:rPr>
        <w:t>3</w:t>
      </w:r>
    </w:p>
    <w:p w:rsidR="00B10E8F" w:rsidRPr="00D440C9" w:rsidRDefault="00B10E8F" w:rsidP="00961310">
      <w:pPr>
        <w:pStyle w:val="HTMLPreformatted"/>
        <w:ind w:right="-852"/>
        <w:rPr>
          <w:rFonts w:ascii="Arial" w:hAnsi="Arial" w:cs="Arial"/>
          <w:b/>
          <w:bCs/>
        </w:rPr>
      </w:pPr>
    </w:p>
    <w:tbl>
      <w:tblPr>
        <w:tblW w:w="10219" w:type="dxa"/>
        <w:tblInd w:w="108" w:type="dxa"/>
        <w:tblLook w:val="04A0" w:firstRow="1" w:lastRow="0" w:firstColumn="1" w:lastColumn="0" w:noHBand="0" w:noVBand="1"/>
      </w:tblPr>
      <w:tblGrid>
        <w:gridCol w:w="3261"/>
        <w:gridCol w:w="765"/>
        <w:gridCol w:w="935"/>
        <w:gridCol w:w="803"/>
        <w:gridCol w:w="907"/>
        <w:gridCol w:w="937"/>
        <w:gridCol w:w="787"/>
        <w:gridCol w:w="1037"/>
        <w:gridCol w:w="787"/>
      </w:tblGrid>
      <w:tr w:rsidR="00991C20" w:rsidRPr="00D440C9" w:rsidTr="005F1B83">
        <w:trPr>
          <w:trHeight w:val="720"/>
        </w:trPr>
        <w:tc>
          <w:tcPr>
            <w:tcW w:w="3261" w:type="dxa"/>
            <w:tcBorders>
              <w:top w:val="nil"/>
              <w:left w:val="nil"/>
              <w:bottom w:val="nil"/>
              <w:right w:val="nil"/>
            </w:tcBorders>
            <w:shd w:val="clear" w:color="000000" w:fill="FFFFFF"/>
            <w:noWrap/>
            <w:vAlign w:val="bottom"/>
            <w:hideMark/>
          </w:tcPr>
          <w:p w:rsidR="00991C20" w:rsidRPr="00D440C9" w:rsidRDefault="00991C20" w:rsidP="00991C20">
            <w:pPr>
              <w:rPr>
                <w:rFonts w:ascii="Arial" w:hAnsi="Arial" w:cs="Arial"/>
                <w:sz w:val="18"/>
                <w:szCs w:val="18"/>
                <w:lang w:val="en-GB" w:eastAsia="en-GB"/>
              </w:rPr>
            </w:pPr>
            <w:r w:rsidRPr="00D440C9">
              <w:rPr>
                <w:rFonts w:ascii="Arial" w:hAnsi="Arial" w:cs="Arial"/>
                <w:sz w:val="18"/>
                <w:szCs w:val="18"/>
                <w:lang w:val="en-GB" w:eastAsia="en-GB"/>
              </w:rPr>
              <w:t> </w:t>
            </w:r>
          </w:p>
        </w:tc>
        <w:tc>
          <w:tcPr>
            <w:tcW w:w="765" w:type="dxa"/>
            <w:tcBorders>
              <w:top w:val="nil"/>
              <w:left w:val="nil"/>
              <w:bottom w:val="nil"/>
              <w:right w:val="nil"/>
            </w:tcBorders>
            <w:shd w:val="clear" w:color="auto" w:fill="auto"/>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Share capital</w:t>
            </w:r>
          </w:p>
        </w:tc>
        <w:tc>
          <w:tcPr>
            <w:tcW w:w="935" w:type="dxa"/>
            <w:tcBorders>
              <w:top w:val="nil"/>
              <w:left w:val="nil"/>
              <w:bottom w:val="nil"/>
              <w:right w:val="nil"/>
            </w:tcBorders>
            <w:shd w:val="clear" w:color="auto" w:fill="auto"/>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Share premium</w:t>
            </w:r>
          </w:p>
        </w:tc>
        <w:tc>
          <w:tcPr>
            <w:tcW w:w="803" w:type="dxa"/>
            <w:tcBorders>
              <w:top w:val="nil"/>
              <w:left w:val="nil"/>
              <w:bottom w:val="nil"/>
              <w:right w:val="nil"/>
            </w:tcBorders>
            <w:shd w:val="clear" w:color="auto" w:fill="auto"/>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Shares to be issued</w:t>
            </w:r>
          </w:p>
        </w:tc>
        <w:tc>
          <w:tcPr>
            <w:tcW w:w="907" w:type="dxa"/>
            <w:tcBorders>
              <w:top w:val="nil"/>
              <w:left w:val="nil"/>
              <w:bottom w:val="nil"/>
              <w:right w:val="nil"/>
            </w:tcBorders>
            <w:shd w:val="clear" w:color="auto" w:fill="auto"/>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Other reserves</w:t>
            </w:r>
          </w:p>
        </w:tc>
        <w:tc>
          <w:tcPr>
            <w:tcW w:w="937" w:type="dxa"/>
            <w:tcBorders>
              <w:top w:val="nil"/>
              <w:left w:val="nil"/>
              <w:bottom w:val="nil"/>
              <w:right w:val="nil"/>
            </w:tcBorders>
            <w:shd w:val="clear" w:color="auto" w:fill="auto"/>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Retained earnings</w:t>
            </w:r>
          </w:p>
        </w:tc>
        <w:tc>
          <w:tcPr>
            <w:tcW w:w="787" w:type="dxa"/>
            <w:tcBorders>
              <w:top w:val="nil"/>
              <w:left w:val="nil"/>
              <w:bottom w:val="nil"/>
              <w:right w:val="nil"/>
            </w:tcBorders>
            <w:shd w:val="clear" w:color="auto" w:fill="auto"/>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Total</w:t>
            </w:r>
          </w:p>
        </w:tc>
        <w:tc>
          <w:tcPr>
            <w:tcW w:w="1037" w:type="dxa"/>
            <w:tcBorders>
              <w:top w:val="nil"/>
              <w:left w:val="nil"/>
              <w:bottom w:val="nil"/>
              <w:right w:val="nil"/>
            </w:tcBorders>
            <w:shd w:val="clear" w:color="auto" w:fill="auto"/>
            <w:vAlign w:val="bottom"/>
            <w:hideMark/>
          </w:tcPr>
          <w:p w:rsidR="00991C20" w:rsidRPr="00D440C9" w:rsidRDefault="00EB3FAD" w:rsidP="00991C20">
            <w:pPr>
              <w:jc w:val="right"/>
              <w:rPr>
                <w:rFonts w:ascii="Arial" w:hAnsi="Arial" w:cs="Arial"/>
                <w:sz w:val="18"/>
                <w:szCs w:val="18"/>
                <w:lang w:val="en-GB" w:eastAsia="en-GB"/>
              </w:rPr>
            </w:pPr>
            <w:proofErr w:type="spellStart"/>
            <w:r>
              <w:rPr>
                <w:rFonts w:ascii="Arial" w:hAnsi="Arial" w:cs="Arial"/>
                <w:sz w:val="18"/>
                <w:szCs w:val="18"/>
                <w:lang w:val="en-GB" w:eastAsia="en-GB"/>
              </w:rPr>
              <w:t>Non controlling</w:t>
            </w:r>
            <w:proofErr w:type="spellEnd"/>
            <w:r w:rsidR="00991C20" w:rsidRPr="00D440C9">
              <w:rPr>
                <w:rFonts w:ascii="Arial" w:hAnsi="Arial" w:cs="Arial"/>
                <w:sz w:val="18"/>
                <w:szCs w:val="18"/>
                <w:lang w:val="en-GB" w:eastAsia="en-GB"/>
              </w:rPr>
              <w:t xml:space="preserve"> interest</w:t>
            </w:r>
          </w:p>
        </w:tc>
        <w:tc>
          <w:tcPr>
            <w:tcW w:w="787" w:type="dxa"/>
            <w:tcBorders>
              <w:top w:val="nil"/>
              <w:left w:val="nil"/>
              <w:bottom w:val="nil"/>
              <w:right w:val="nil"/>
            </w:tcBorders>
            <w:shd w:val="clear" w:color="auto" w:fill="auto"/>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Total equity</w:t>
            </w:r>
          </w:p>
        </w:tc>
      </w:tr>
      <w:tr w:rsidR="00991C20" w:rsidRPr="00D440C9" w:rsidTr="005F1B83">
        <w:trPr>
          <w:trHeight w:val="255"/>
        </w:trPr>
        <w:tc>
          <w:tcPr>
            <w:tcW w:w="3261" w:type="dxa"/>
            <w:tcBorders>
              <w:top w:val="nil"/>
              <w:left w:val="nil"/>
              <w:bottom w:val="single" w:sz="8" w:space="0" w:color="auto"/>
              <w:right w:val="nil"/>
            </w:tcBorders>
            <w:shd w:val="clear" w:color="000000" w:fill="FFFFFF"/>
            <w:vAlign w:val="bottom"/>
            <w:hideMark/>
          </w:tcPr>
          <w:p w:rsidR="00991C20" w:rsidRPr="00D440C9" w:rsidRDefault="00991C20" w:rsidP="00991C20">
            <w:pPr>
              <w:rPr>
                <w:rFonts w:ascii="Arial" w:hAnsi="Arial" w:cs="Arial"/>
                <w:b/>
                <w:bCs/>
                <w:sz w:val="18"/>
                <w:szCs w:val="18"/>
                <w:lang w:val="en-GB" w:eastAsia="en-GB"/>
              </w:rPr>
            </w:pPr>
            <w:r w:rsidRPr="00D440C9">
              <w:rPr>
                <w:rFonts w:ascii="Arial" w:hAnsi="Arial" w:cs="Arial"/>
                <w:b/>
                <w:bCs/>
                <w:sz w:val="18"/>
                <w:szCs w:val="18"/>
                <w:lang w:val="en-GB" w:eastAsia="en-GB"/>
              </w:rPr>
              <w:t>Group</w:t>
            </w:r>
          </w:p>
        </w:tc>
        <w:tc>
          <w:tcPr>
            <w:tcW w:w="765" w:type="dxa"/>
            <w:tcBorders>
              <w:top w:val="nil"/>
              <w:left w:val="nil"/>
              <w:bottom w:val="single" w:sz="8" w:space="0" w:color="auto"/>
              <w:right w:val="nil"/>
            </w:tcBorders>
            <w:shd w:val="clear" w:color="auto" w:fill="auto"/>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£'000</w:t>
            </w:r>
          </w:p>
        </w:tc>
        <w:tc>
          <w:tcPr>
            <w:tcW w:w="935" w:type="dxa"/>
            <w:tcBorders>
              <w:top w:val="nil"/>
              <w:left w:val="nil"/>
              <w:bottom w:val="single" w:sz="8" w:space="0" w:color="auto"/>
              <w:right w:val="nil"/>
            </w:tcBorders>
            <w:shd w:val="clear" w:color="auto" w:fill="auto"/>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£'000</w:t>
            </w:r>
          </w:p>
        </w:tc>
        <w:tc>
          <w:tcPr>
            <w:tcW w:w="803" w:type="dxa"/>
            <w:tcBorders>
              <w:top w:val="nil"/>
              <w:left w:val="nil"/>
              <w:bottom w:val="single" w:sz="8" w:space="0" w:color="auto"/>
              <w:right w:val="nil"/>
            </w:tcBorders>
            <w:shd w:val="clear" w:color="auto" w:fill="auto"/>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£'000</w:t>
            </w:r>
          </w:p>
        </w:tc>
        <w:tc>
          <w:tcPr>
            <w:tcW w:w="907" w:type="dxa"/>
            <w:tcBorders>
              <w:top w:val="nil"/>
              <w:left w:val="nil"/>
              <w:bottom w:val="single" w:sz="8" w:space="0" w:color="auto"/>
              <w:right w:val="nil"/>
            </w:tcBorders>
            <w:shd w:val="clear" w:color="auto" w:fill="auto"/>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£'000</w:t>
            </w:r>
          </w:p>
        </w:tc>
        <w:tc>
          <w:tcPr>
            <w:tcW w:w="937" w:type="dxa"/>
            <w:tcBorders>
              <w:top w:val="nil"/>
              <w:left w:val="nil"/>
              <w:bottom w:val="single" w:sz="8" w:space="0" w:color="auto"/>
              <w:right w:val="nil"/>
            </w:tcBorders>
            <w:shd w:val="clear" w:color="auto" w:fill="auto"/>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£'000</w:t>
            </w:r>
          </w:p>
        </w:tc>
        <w:tc>
          <w:tcPr>
            <w:tcW w:w="787" w:type="dxa"/>
            <w:tcBorders>
              <w:top w:val="nil"/>
              <w:left w:val="nil"/>
              <w:bottom w:val="single" w:sz="8" w:space="0" w:color="auto"/>
              <w:right w:val="nil"/>
            </w:tcBorders>
            <w:shd w:val="clear" w:color="auto" w:fill="auto"/>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£'000</w:t>
            </w:r>
          </w:p>
        </w:tc>
        <w:tc>
          <w:tcPr>
            <w:tcW w:w="1037" w:type="dxa"/>
            <w:tcBorders>
              <w:top w:val="nil"/>
              <w:left w:val="nil"/>
              <w:bottom w:val="single" w:sz="8" w:space="0" w:color="auto"/>
              <w:right w:val="nil"/>
            </w:tcBorders>
            <w:shd w:val="clear" w:color="auto" w:fill="auto"/>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£'000</w:t>
            </w:r>
          </w:p>
        </w:tc>
        <w:tc>
          <w:tcPr>
            <w:tcW w:w="787" w:type="dxa"/>
            <w:tcBorders>
              <w:top w:val="nil"/>
              <w:left w:val="nil"/>
              <w:bottom w:val="single" w:sz="8" w:space="0" w:color="auto"/>
              <w:right w:val="nil"/>
            </w:tcBorders>
            <w:shd w:val="clear" w:color="auto" w:fill="auto"/>
            <w:vAlign w:val="bottom"/>
            <w:hideMark/>
          </w:tcPr>
          <w:p w:rsidR="00991C20" w:rsidRPr="00D440C9" w:rsidRDefault="00991C20" w:rsidP="00991C20">
            <w:pPr>
              <w:jc w:val="right"/>
              <w:rPr>
                <w:rFonts w:ascii="Arial" w:hAnsi="Arial" w:cs="Arial"/>
                <w:sz w:val="18"/>
                <w:szCs w:val="18"/>
                <w:lang w:val="en-GB" w:eastAsia="en-GB"/>
              </w:rPr>
            </w:pPr>
            <w:r w:rsidRPr="00D440C9">
              <w:rPr>
                <w:rFonts w:ascii="Arial" w:hAnsi="Arial" w:cs="Arial"/>
                <w:sz w:val="18"/>
                <w:szCs w:val="18"/>
                <w:lang w:val="en-GB" w:eastAsia="en-GB"/>
              </w:rPr>
              <w:t>£'000</w:t>
            </w:r>
          </w:p>
        </w:tc>
      </w:tr>
      <w:tr w:rsidR="008904D0" w:rsidRPr="00D440C9" w:rsidTr="009C31BF">
        <w:trPr>
          <w:trHeight w:val="101"/>
        </w:trPr>
        <w:tc>
          <w:tcPr>
            <w:tcW w:w="3261" w:type="dxa"/>
            <w:tcBorders>
              <w:top w:val="nil"/>
              <w:left w:val="nil"/>
              <w:bottom w:val="single" w:sz="4" w:space="0" w:color="auto"/>
              <w:right w:val="nil"/>
            </w:tcBorders>
            <w:shd w:val="clear" w:color="000000" w:fill="FFFFFF"/>
            <w:vAlign w:val="bottom"/>
            <w:hideMark/>
          </w:tcPr>
          <w:p w:rsidR="008904D0" w:rsidRPr="00D440C9" w:rsidRDefault="008904D0" w:rsidP="00991C20">
            <w:pPr>
              <w:rPr>
                <w:rFonts w:ascii="Arial" w:hAnsi="Arial" w:cs="Arial"/>
                <w:sz w:val="18"/>
                <w:szCs w:val="18"/>
                <w:lang w:val="en-GB" w:eastAsia="en-GB"/>
              </w:rPr>
            </w:pPr>
            <w:r>
              <w:rPr>
                <w:rFonts w:ascii="Arial" w:hAnsi="Arial" w:cs="Arial"/>
                <w:sz w:val="18"/>
                <w:szCs w:val="18"/>
                <w:lang w:val="en-GB" w:eastAsia="en-GB"/>
              </w:rPr>
              <w:t>At 1 March 201</w:t>
            </w:r>
            <w:r w:rsidR="00A51AEE">
              <w:rPr>
                <w:rFonts w:ascii="Arial" w:hAnsi="Arial" w:cs="Arial"/>
                <w:sz w:val="18"/>
                <w:szCs w:val="18"/>
                <w:lang w:val="en-GB" w:eastAsia="en-GB"/>
              </w:rPr>
              <w:t>1</w:t>
            </w:r>
          </w:p>
        </w:tc>
        <w:tc>
          <w:tcPr>
            <w:tcW w:w="765"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bCs/>
                <w:sz w:val="18"/>
                <w:szCs w:val="18"/>
                <w:lang w:val="en-GB"/>
              </w:rPr>
            </w:pPr>
            <w:r w:rsidRPr="008904D0">
              <w:rPr>
                <w:rFonts w:ascii="Arial" w:hAnsi="Arial" w:cs="Arial"/>
                <w:bCs/>
                <w:sz w:val="18"/>
                <w:szCs w:val="18"/>
                <w:lang w:val="en-GB"/>
              </w:rPr>
              <w:t>2,110</w:t>
            </w:r>
          </w:p>
        </w:tc>
        <w:tc>
          <w:tcPr>
            <w:tcW w:w="935" w:type="dxa"/>
            <w:tcBorders>
              <w:top w:val="single" w:sz="8" w:space="0" w:color="auto"/>
              <w:left w:val="nil"/>
              <w:bottom w:val="single" w:sz="4" w:space="0" w:color="auto"/>
              <w:right w:val="nil"/>
            </w:tcBorders>
            <w:shd w:val="clear" w:color="000000" w:fill="auto"/>
            <w:vAlign w:val="bottom"/>
            <w:hideMark/>
          </w:tcPr>
          <w:p w:rsidR="008904D0" w:rsidRPr="008904D0" w:rsidRDefault="008904D0" w:rsidP="00A51AEE">
            <w:pPr>
              <w:jc w:val="right"/>
              <w:rPr>
                <w:rFonts w:ascii="Arial" w:hAnsi="Arial" w:cs="Arial"/>
                <w:bCs/>
                <w:sz w:val="18"/>
                <w:szCs w:val="18"/>
                <w:lang w:val="en-GB"/>
              </w:rPr>
            </w:pPr>
            <w:r w:rsidRPr="008904D0">
              <w:rPr>
                <w:rFonts w:ascii="Arial" w:hAnsi="Arial" w:cs="Arial"/>
                <w:bCs/>
                <w:sz w:val="18"/>
                <w:szCs w:val="18"/>
                <w:lang w:val="en-GB"/>
              </w:rPr>
              <w:t>11,077</w:t>
            </w:r>
          </w:p>
        </w:tc>
        <w:tc>
          <w:tcPr>
            <w:tcW w:w="803"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bCs/>
                <w:sz w:val="18"/>
                <w:szCs w:val="18"/>
                <w:lang w:val="en-GB"/>
              </w:rPr>
            </w:pPr>
            <w:r w:rsidRPr="008904D0">
              <w:rPr>
                <w:rFonts w:ascii="Arial" w:hAnsi="Arial" w:cs="Arial"/>
                <w:bCs/>
                <w:sz w:val="18"/>
                <w:szCs w:val="18"/>
                <w:lang w:val="en-GB"/>
              </w:rPr>
              <w:t>(3,275)</w:t>
            </w:r>
          </w:p>
        </w:tc>
        <w:tc>
          <w:tcPr>
            <w:tcW w:w="907"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bCs/>
                <w:sz w:val="18"/>
                <w:szCs w:val="18"/>
                <w:lang w:val="en-GB"/>
              </w:rPr>
            </w:pPr>
            <w:r w:rsidRPr="008904D0">
              <w:rPr>
                <w:rFonts w:ascii="Arial" w:hAnsi="Arial" w:cs="Arial"/>
                <w:bCs/>
                <w:sz w:val="18"/>
                <w:szCs w:val="18"/>
                <w:lang w:val="en-GB"/>
              </w:rPr>
              <w:t>26,323</w:t>
            </w:r>
          </w:p>
        </w:tc>
        <w:tc>
          <w:tcPr>
            <w:tcW w:w="937"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bCs/>
                <w:sz w:val="18"/>
                <w:szCs w:val="18"/>
                <w:lang w:val="en-GB"/>
              </w:rPr>
            </w:pPr>
            <w:r w:rsidRPr="008904D0">
              <w:rPr>
                <w:rFonts w:ascii="Arial" w:hAnsi="Arial" w:cs="Arial"/>
                <w:bCs/>
                <w:sz w:val="18"/>
                <w:szCs w:val="18"/>
                <w:lang w:val="en-GB"/>
              </w:rPr>
              <w:t>28,424</w:t>
            </w:r>
          </w:p>
        </w:tc>
        <w:tc>
          <w:tcPr>
            <w:tcW w:w="787"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bCs/>
                <w:sz w:val="18"/>
                <w:szCs w:val="18"/>
                <w:lang w:val="en-GB"/>
              </w:rPr>
            </w:pPr>
            <w:r w:rsidRPr="008904D0">
              <w:rPr>
                <w:rFonts w:ascii="Arial" w:hAnsi="Arial" w:cs="Arial"/>
                <w:bCs/>
                <w:sz w:val="18"/>
                <w:szCs w:val="18"/>
                <w:lang w:val="en-GB"/>
              </w:rPr>
              <w:t>64,659</w:t>
            </w:r>
          </w:p>
        </w:tc>
        <w:tc>
          <w:tcPr>
            <w:tcW w:w="1037"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bCs/>
                <w:sz w:val="18"/>
                <w:szCs w:val="18"/>
                <w:lang w:val="en-GB"/>
              </w:rPr>
            </w:pPr>
            <w:r w:rsidRPr="008904D0">
              <w:rPr>
                <w:rFonts w:ascii="Arial" w:hAnsi="Arial" w:cs="Arial"/>
                <w:bCs/>
                <w:sz w:val="18"/>
                <w:szCs w:val="18"/>
                <w:lang w:val="en-GB"/>
              </w:rPr>
              <w:t>159</w:t>
            </w:r>
          </w:p>
        </w:tc>
        <w:tc>
          <w:tcPr>
            <w:tcW w:w="787"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bCs/>
                <w:sz w:val="18"/>
                <w:szCs w:val="18"/>
                <w:lang w:val="en-GB"/>
              </w:rPr>
            </w:pPr>
            <w:r w:rsidRPr="008904D0">
              <w:rPr>
                <w:rFonts w:ascii="Arial" w:hAnsi="Arial" w:cs="Arial"/>
                <w:bCs/>
                <w:sz w:val="18"/>
                <w:szCs w:val="18"/>
                <w:lang w:val="en-GB"/>
              </w:rPr>
              <w:t>64,818</w:t>
            </w:r>
          </w:p>
        </w:tc>
      </w:tr>
      <w:tr w:rsidR="008904D0" w:rsidRPr="00D440C9" w:rsidTr="009C31BF">
        <w:trPr>
          <w:trHeight w:val="90"/>
        </w:trPr>
        <w:tc>
          <w:tcPr>
            <w:tcW w:w="3261" w:type="dxa"/>
            <w:tcBorders>
              <w:top w:val="single" w:sz="4" w:space="0" w:color="auto"/>
              <w:left w:val="single" w:sz="4" w:space="0" w:color="auto"/>
              <w:right w:val="nil"/>
            </w:tcBorders>
            <w:shd w:val="clear" w:color="000000" w:fill="FFFFFF"/>
            <w:vAlign w:val="bottom"/>
            <w:hideMark/>
          </w:tcPr>
          <w:p w:rsidR="008904D0" w:rsidRPr="00D440C9" w:rsidRDefault="008904D0" w:rsidP="005F1B83">
            <w:pPr>
              <w:rPr>
                <w:rFonts w:ascii="Arial" w:hAnsi="Arial" w:cs="Arial"/>
                <w:sz w:val="18"/>
                <w:szCs w:val="18"/>
                <w:lang w:val="en-GB"/>
              </w:rPr>
            </w:pPr>
            <w:r w:rsidRPr="00D440C9">
              <w:rPr>
                <w:rFonts w:ascii="Arial" w:hAnsi="Arial" w:cs="Arial"/>
                <w:sz w:val="18"/>
                <w:szCs w:val="18"/>
                <w:lang w:val="en-GB"/>
              </w:rPr>
              <w:t>Profit for the year</w:t>
            </w:r>
          </w:p>
        </w:tc>
        <w:tc>
          <w:tcPr>
            <w:tcW w:w="765" w:type="dxa"/>
            <w:tcBorders>
              <w:top w:val="single" w:sz="4" w:space="0" w:color="auto"/>
              <w:left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35" w:type="dxa"/>
            <w:tcBorders>
              <w:top w:val="single" w:sz="4" w:space="0" w:color="auto"/>
              <w:left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803" w:type="dxa"/>
            <w:tcBorders>
              <w:top w:val="single" w:sz="4" w:space="0" w:color="auto"/>
              <w:left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07" w:type="dxa"/>
            <w:tcBorders>
              <w:top w:val="single" w:sz="4" w:space="0" w:color="auto"/>
              <w:left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37" w:type="dxa"/>
            <w:tcBorders>
              <w:top w:val="single" w:sz="4" w:space="0" w:color="auto"/>
              <w:left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6,841</w:t>
            </w:r>
          </w:p>
        </w:tc>
        <w:tc>
          <w:tcPr>
            <w:tcW w:w="787" w:type="dxa"/>
            <w:tcBorders>
              <w:top w:val="single" w:sz="4" w:space="0" w:color="auto"/>
              <w:left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6,841</w:t>
            </w:r>
          </w:p>
        </w:tc>
        <w:tc>
          <w:tcPr>
            <w:tcW w:w="1037" w:type="dxa"/>
            <w:tcBorders>
              <w:top w:val="single" w:sz="4" w:space="0" w:color="auto"/>
              <w:left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61</w:t>
            </w:r>
          </w:p>
        </w:tc>
        <w:tc>
          <w:tcPr>
            <w:tcW w:w="787" w:type="dxa"/>
            <w:tcBorders>
              <w:top w:val="single" w:sz="4" w:space="0" w:color="auto"/>
              <w:left w:val="nil"/>
              <w:right w:val="single" w:sz="4" w:space="0" w:color="auto"/>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6,902</w:t>
            </w:r>
          </w:p>
        </w:tc>
      </w:tr>
      <w:tr w:rsidR="008904D0" w:rsidRPr="00D440C9" w:rsidTr="009C31BF">
        <w:trPr>
          <w:trHeight w:val="101"/>
        </w:trPr>
        <w:tc>
          <w:tcPr>
            <w:tcW w:w="3261" w:type="dxa"/>
            <w:tcBorders>
              <w:top w:val="nil"/>
              <w:left w:val="single" w:sz="4" w:space="0" w:color="auto"/>
              <w:bottom w:val="nil"/>
              <w:right w:val="nil"/>
            </w:tcBorders>
            <w:shd w:val="clear" w:color="000000" w:fill="FFFFFF"/>
            <w:vAlign w:val="bottom"/>
          </w:tcPr>
          <w:p w:rsidR="008904D0" w:rsidRPr="00D440C9" w:rsidRDefault="008904D0" w:rsidP="005F1B83">
            <w:pPr>
              <w:rPr>
                <w:rFonts w:ascii="Arial" w:hAnsi="Arial" w:cs="Arial"/>
                <w:sz w:val="18"/>
                <w:szCs w:val="18"/>
                <w:lang w:val="en-GB" w:eastAsia="en-GB"/>
              </w:rPr>
            </w:pPr>
            <w:r>
              <w:rPr>
                <w:rFonts w:ascii="Arial" w:hAnsi="Arial" w:cs="Arial"/>
                <w:sz w:val="18"/>
                <w:szCs w:val="18"/>
                <w:lang w:val="en-GB" w:eastAsia="en-GB"/>
              </w:rPr>
              <w:t>Foreign e</w:t>
            </w:r>
            <w:r w:rsidRPr="00D440C9">
              <w:rPr>
                <w:rFonts w:ascii="Arial" w:hAnsi="Arial" w:cs="Arial"/>
                <w:sz w:val="18"/>
                <w:szCs w:val="18"/>
                <w:lang w:val="en-GB" w:eastAsia="en-GB"/>
              </w:rPr>
              <w:t>xchange differences</w:t>
            </w:r>
          </w:p>
        </w:tc>
        <w:tc>
          <w:tcPr>
            <w:tcW w:w="765" w:type="dxa"/>
            <w:tcBorders>
              <w:top w:val="nil"/>
              <w:left w:val="nil"/>
              <w:bottom w:val="nil"/>
              <w:right w:val="nil"/>
            </w:tcBorders>
            <w:shd w:val="clear" w:color="auto" w:fill="auto"/>
            <w:vAlign w:val="bottom"/>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 xml:space="preserve">-  </w:t>
            </w:r>
          </w:p>
        </w:tc>
        <w:tc>
          <w:tcPr>
            <w:tcW w:w="935" w:type="dxa"/>
            <w:tcBorders>
              <w:left w:val="nil"/>
              <w:bottom w:val="nil"/>
              <w:right w:val="nil"/>
            </w:tcBorders>
            <w:shd w:val="clear" w:color="000000" w:fill="auto"/>
            <w:vAlign w:val="bottom"/>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 xml:space="preserve">-  </w:t>
            </w:r>
          </w:p>
        </w:tc>
        <w:tc>
          <w:tcPr>
            <w:tcW w:w="803" w:type="dxa"/>
            <w:tcBorders>
              <w:top w:val="nil"/>
              <w:left w:val="nil"/>
              <w:bottom w:val="nil"/>
              <w:right w:val="nil"/>
            </w:tcBorders>
            <w:shd w:val="clear" w:color="auto" w:fill="auto"/>
            <w:vAlign w:val="bottom"/>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 xml:space="preserve">-  </w:t>
            </w:r>
          </w:p>
        </w:tc>
        <w:tc>
          <w:tcPr>
            <w:tcW w:w="907" w:type="dxa"/>
            <w:tcBorders>
              <w:top w:val="nil"/>
              <w:left w:val="nil"/>
              <w:bottom w:val="nil"/>
              <w:right w:val="nil"/>
            </w:tcBorders>
            <w:shd w:val="clear" w:color="auto" w:fill="auto"/>
            <w:vAlign w:val="bottom"/>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411</w:t>
            </w:r>
          </w:p>
        </w:tc>
        <w:tc>
          <w:tcPr>
            <w:tcW w:w="937" w:type="dxa"/>
            <w:tcBorders>
              <w:top w:val="nil"/>
              <w:left w:val="nil"/>
              <w:bottom w:val="nil"/>
              <w:right w:val="nil"/>
            </w:tcBorders>
            <w:shd w:val="clear" w:color="auto" w:fill="auto"/>
            <w:vAlign w:val="bottom"/>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 xml:space="preserve">(70)  </w:t>
            </w:r>
          </w:p>
        </w:tc>
        <w:tc>
          <w:tcPr>
            <w:tcW w:w="787" w:type="dxa"/>
            <w:tcBorders>
              <w:top w:val="nil"/>
              <w:left w:val="nil"/>
              <w:bottom w:val="nil"/>
              <w:right w:val="nil"/>
            </w:tcBorders>
            <w:shd w:val="clear" w:color="auto" w:fill="auto"/>
            <w:vAlign w:val="bottom"/>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341</w:t>
            </w:r>
          </w:p>
        </w:tc>
        <w:tc>
          <w:tcPr>
            <w:tcW w:w="1037" w:type="dxa"/>
            <w:tcBorders>
              <w:top w:val="nil"/>
              <w:left w:val="nil"/>
              <w:bottom w:val="nil"/>
              <w:right w:val="nil"/>
            </w:tcBorders>
            <w:shd w:val="clear" w:color="auto" w:fill="auto"/>
            <w:vAlign w:val="bottom"/>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 xml:space="preserve">-  </w:t>
            </w:r>
          </w:p>
        </w:tc>
        <w:tc>
          <w:tcPr>
            <w:tcW w:w="787" w:type="dxa"/>
            <w:tcBorders>
              <w:top w:val="nil"/>
              <w:left w:val="nil"/>
              <w:bottom w:val="nil"/>
              <w:right w:val="single" w:sz="4" w:space="0" w:color="auto"/>
            </w:tcBorders>
            <w:shd w:val="clear" w:color="auto" w:fill="auto"/>
            <w:vAlign w:val="bottom"/>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341</w:t>
            </w:r>
          </w:p>
        </w:tc>
      </w:tr>
      <w:tr w:rsidR="008904D0" w:rsidRPr="00D440C9" w:rsidTr="009C31BF">
        <w:trPr>
          <w:trHeight w:val="180"/>
        </w:trPr>
        <w:tc>
          <w:tcPr>
            <w:tcW w:w="3261" w:type="dxa"/>
            <w:tcBorders>
              <w:top w:val="nil"/>
              <w:left w:val="single" w:sz="4" w:space="0" w:color="auto"/>
              <w:bottom w:val="single" w:sz="4" w:space="0" w:color="auto"/>
              <w:right w:val="nil"/>
            </w:tcBorders>
            <w:shd w:val="clear" w:color="000000" w:fill="FFFFFF"/>
            <w:vAlign w:val="bottom"/>
            <w:hideMark/>
          </w:tcPr>
          <w:p w:rsidR="008904D0" w:rsidRPr="00D440C9" w:rsidRDefault="008904D0" w:rsidP="00991C20">
            <w:pPr>
              <w:rPr>
                <w:rFonts w:ascii="Arial" w:hAnsi="Arial" w:cs="Arial"/>
                <w:sz w:val="18"/>
                <w:szCs w:val="18"/>
                <w:lang w:val="en-GB" w:eastAsia="en-GB"/>
              </w:rPr>
            </w:pPr>
            <w:r w:rsidRPr="00D440C9">
              <w:rPr>
                <w:rFonts w:ascii="Arial" w:hAnsi="Arial" w:cs="Arial"/>
                <w:sz w:val="18"/>
                <w:szCs w:val="18"/>
                <w:lang w:val="en-GB" w:eastAsia="en-GB"/>
              </w:rPr>
              <w:t>Cash flow hedges</w:t>
            </w:r>
            <w:r>
              <w:rPr>
                <w:rFonts w:ascii="Arial" w:hAnsi="Arial" w:cs="Arial"/>
                <w:sz w:val="18"/>
                <w:szCs w:val="18"/>
                <w:lang w:val="en-GB" w:eastAsia="en-GB"/>
              </w:rPr>
              <w:t xml:space="preserve"> net of tax</w:t>
            </w:r>
          </w:p>
        </w:tc>
        <w:tc>
          <w:tcPr>
            <w:tcW w:w="765"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 xml:space="preserve">-  </w:t>
            </w:r>
          </w:p>
        </w:tc>
        <w:tc>
          <w:tcPr>
            <w:tcW w:w="935"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 xml:space="preserve">-  </w:t>
            </w:r>
          </w:p>
        </w:tc>
        <w:tc>
          <w:tcPr>
            <w:tcW w:w="803"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 xml:space="preserve">-  </w:t>
            </w:r>
          </w:p>
        </w:tc>
        <w:tc>
          <w:tcPr>
            <w:tcW w:w="907"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(70)</w:t>
            </w:r>
          </w:p>
        </w:tc>
        <w:tc>
          <w:tcPr>
            <w:tcW w:w="937"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 xml:space="preserve">-  </w:t>
            </w:r>
          </w:p>
        </w:tc>
        <w:tc>
          <w:tcPr>
            <w:tcW w:w="787"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(70)</w:t>
            </w:r>
          </w:p>
        </w:tc>
        <w:tc>
          <w:tcPr>
            <w:tcW w:w="1037"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 xml:space="preserve">-  </w:t>
            </w:r>
          </w:p>
        </w:tc>
        <w:tc>
          <w:tcPr>
            <w:tcW w:w="787" w:type="dxa"/>
            <w:tcBorders>
              <w:top w:val="nil"/>
              <w:left w:val="nil"/>
              <w:bottom w:val="single" w:sz="4" w:space="0" w:color="auto"/>
              <w:right w:val="single" w:sz="4" w:space="0" w:color="auto"/>
            </w:tcBorders>
            <w:shd w:val="clear" w:color="auto" w:fill="auto"/>
            <w:vAlign w:val="bottom"/>
            <w:hideMark/>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(70)</w:t>
            </w:r>
          </w:p>
        </w:tc>
      </w:tr>
      <w:tr w:rsidR="008904D0" w:rsidRPr="00D440C9" w:rsidTr="009C31BF">
        <w:trPr>
          <w:trHeight w:val="149"/>
        </w:trPr>
        <w:tc>
          <w:tcPr>
            <w:tcW w:w="3261" w:type="dxa"/>
            <w:tcBorders>
              <w:top w:val="single" w:sz="4" w:space="0" w:color="auto"/>
              <w:left w:val="single" w:sz="4" w:space="0" w:color="auto"/>
              <w:bottom w:val="single" w:sz="4" w:space="0" w:color="auto"/>
              <w:right w:val="nil"/>
            </w:tcBorders>
            <w:shd w:val="clear" w:color="000000" w:fill="FFFFFF"/>
            <w:vAlign w:val="bottom"/>
            <w:hideMark/>
          </w:tcPr>
          <w:p w:rsidR="008904D0" w:rsidRPr="00D440C9" w:rsidRDefault="008904D0" w:rsidP="00991C20">
            <w:pPr>
              <w:rPr>
                <w:rFonts w:ascii="Arial" w:hAnsi="Arial" w:cs="Arial"/>
                <w:sz w:val="18"/>
                <w:szCs w:val="18"/>
                <w:lang w:val="en-GB" w:eastAsia="en-GB"/>
              </w:rPr>
            </w:pPr>
            <w:r w:rsidRPr="00D440C9">
              <w:rPr>
                <w:rFonts w:ascii="Arial" w:hAnsi="Arial" w:cs="Arial"/>
                <w:sz w:val="18"/>
                <w:szCs w:val="18"/>
                <w:lang w:val="en-GB" w:eastAsia="en-GB"/>
              </w:rPr>
              <w:t>Total recognised income in the year</w:t>
            </w:r>
          </w:p>
        </w:tc>
        <w:tc>
          <w:tcPr>
            <w:tcW w:w="765" w:type="dxa"/>
            <w:tcBorders>
              <w:top w:val="single" w:sz="4" w:space="0" w:color="auto"/>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 xml:space="preserve">-  </w:t>
            </w:r>
          </w:p>
        </w:tc>
        <w:tc>
          <w:tcPr>
            <w:tcW w:w="935" w:type="dxa"/>
            <w:tcBorders>
              <w:top w:val="single" w:sz="4" w:space="0" w:color="auto"/>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 xml:space="preserve">-  </w:t>
            </w:r>
          </w:p>
        </w:tc>
        <w:tc>
          <w:tcPr>
            <w:tcW w:w="803" w:type="dxa"/>
            <w:tcBorders>
              <w:top w:val="single" w:sz="4" w:space="0" w:color="auto"/>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 xml:space="preserve">-  </w:t>
            </w:r>
          </w:p>
        </w:tc>
        <w:tc>
          <w:tcPr>
            <w:tcW w:w="907" w:type="dxa"/>
            <w:tcBorders>
              <w:top w:val="single" w:sz="4" w:space="0" w:color="auto"/>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341</w:t>
            </w:r>
          </w:p>
        </w:tc>
        <w:tc>
          <w:tcPr>
            <w:tcW w:w="937" w:type="dxa"/>
            <w:tcBorders>
              <w:top w:val="single" w:sz="4" w:space="0" w:color="auto"/>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6,771</w:t>
            </w:r>
          </w:p>
        </w:tc>
        <w:tc>
          <w:tcPr>
            <w:tcW w:w="787" w:type="dxa"/>
            <w:tcBorders>
              <w:top w:val="single" w:sz="4" w:space="0" w:color="auto"/>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7,112</w:t>
            </w:r>
          </w:p>
        </w:tc>
        <w:tc>
          <w:tcPr>
            <w:tcW w:w="1037" w:type="dxa"/>
            <w:tcBorders>
              <w:top w:val="single" w:sz="4" w:space="0" w:color="auto"/>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61</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8904D0" w:rsidRPr="008904D0" w:rsidRDefault="008904D0" w:rsidP="00A51AEE">
            <w:pPr>
              <w:jc w:val="right"/>
              <w:rPr>
                <w:rFonts w:ascii="Arial" w:hAnsi="Arial" w:cs="Arial"/>
                <w:sz w:val="18"/>
                <w:szCs w:val="18"/>
                <w:lang w:val="en-GB" w:eastAsia="en-GB"/>
              </w:rPr>
            </w:pPr>
            <w:r w:rsidRPr="008904D0">
              <w:rPr>
                <w:rFonts w:ascii="Arial" w:hAnsi="Arial" w:cs="Arial"/>
                <w:sz w:val="18"/>
                <w:szCs w:val="18"/>
                <w:lang w:val="en-GB" w:eastAsia="en-GB"/>
              </w:rPr>
              <w:t>7,173</w:t>
            </w:r>
          </w:p>
        </w:tc>
      </w:tr>
      <w:tr w:rsidR="008904D0" w:rsidRPr="00D440C9" w:rsidTr="005F1B83">
        <w:trPr>
          <w:trHeight w:val="121"/>
        </w:trPr>
        <w:tc>
          <w:tcPr>
            <w:tcW w:w="3261" w:type="dxa"/>
            <w:tcBorders>
              <w:top w:val="nil"/>
              <w:left w:val="nil"/>
              <w:bottom w:val="nil"/>
              <w:right w:val="nil"/>
            </w:tcBorders>
            <w:shd w:val="clear" w:color="000000" w:fill="FFFFFF"/>
            <w:vAlign w:val="bottom"/>
            <w:hideMark/>
          </w:tcPr>
          <w:p w:rsidR="008904D0" w:rsidRPr="00D440C9" w:rsidRDefault="008904D0" w:rsidP="005F1B83">
            <w:pPr>
              <w:rPr>
                <w:rFonts w:ascii="Arial" w:hAnsi="Arial" w:cs="Arial"/>
                <w:sz w:val="18"/>
                <w:szCs w:val="18"/>
                <w:lang w:val="en-GB"/>
              </w:rPr>
            </w:pPr>
            <w:r w:rsidRPr="00D440C9">
              <w:rPr>
                <w:rFonts w:ascii="Arial" w:hAnsi="Arial" w:cs="Arial"/>
                <w:sz w:val="18"/>
                <w:szCs w:val="18"/>
                <w:lang w:val="en-GB"/>
              </w:rPr>
              <w:t>Dividends paid</w:t>
            </w:r>
          </w:p>
        </w:tc>
        <w:tc>
          <w:tcPr>
            <w:tcW w:w="765"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35" w:type="dxa"/>
            <w:tcBorders>
              <w:top w:val="nil"/>
              <w:left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803"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0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3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(5,233)</w:t>
            </w:r>
          </w:p>
        </w:tc>
        <w:tc>
          <w:tcPr>
            <w:tcW w:w="78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(5,233)</w:t>
            </w:r>
          </w:p>
        </w:tc>
        <w:tc>
          <w:tcPr>
            <w:tcW w:w="103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78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(5,233)</w:t>
            </w:r>
          </w:p>
        </w:tc>
      </w:tr>
      <w:tr w:rsidR="008904D0" w:rsidRPr="00D440C9" w:rsidTr="005F1B83">
        <w:trPr>
          <w:trHeight w:val="176"/>
        </w:trPr>
        <w:tc>
          <w:tcPr>
            <w:tcW w:w="3261" w:type="dxa"/>
            <w:tcBorders>
              <w:top w:val="nil"/>
              <w:left w:val="nil"/>
              <w:bottom w:val="nil"/>
              <w:right w:val="nil"/>
            </w:tcBorders>
            <w:shd w:val="clear" w:color="000000" w:fill="FFFFFF"/>
            <w:vAlign w:val="bottom"/>
            <w:hideMark/>
          </w:tcPr>
          <w:p w:rsidR="008904D0" w:rsidRPr="00D440C9" w:rsidRDefault="008904D0" w:rsidP="00991C20">
            <w:pPr>
              <w:rPr>
                <w:rFonts w:ascii="Arial" w:hAnsi="Arial" w:cs="Arial"/>
                <w:sz w:val="18"/>
                <w:szCs w:val="18"/>
                <w:lang w:val="en-GB" w:eastAsia="en-GB"/>
              </w:rPr>
            </w:pPr>
            <w:r w:rsidRPr="00D440C9">
              <w:rPr>
                <w:rFonts w:ascii="Arial" w:hAnsi="Arial" w:cs="Arial"/>
                <w:sz w:val="18"/>
                <w:szCs w:val="18"/>
                <w:lang w:val="en-GB" w:eastAsia="en-GB"/>
              </w:rPr>
              <w:t>Issue of shares</w:t>
            </w:r>
          </w:p>
        </w:tc>
        <w:tc>
          <w:tcPr>
            <w:tcW w:w="765"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50</w:t>
            </w:r>
          </w:p>
        </w:tc>
        <w:tc>
          <w:tcPr>
            <w:tcW w:w="935" w:type="dxa"/>
            <w:tcBorders>
              <w:top w:val="nil"/>
              <w:left w:val="nil"/>
              <w:bottom w:val="nil"/>
              <w:right w:val="nil"/>
            </w:tcBorders>
            <w:shd w:val="clear" w:color="000000"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941</w:t>
            </w:r>
          </w:p>
        </w:tc>
        <w:tc>
          <w:tcPr>
            <w:tcW w:w="803"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0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3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78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991</w:t>
            </w:r>
          </w:p>
        </w:tc>
        <w:tc>
          <w:tcPr>
            <w:tcW w:w="103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78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991</w:t>
            </w:r>
          </w:p>
        </w:tc>
      </w:tr>
      <w:tr w:rsidR="008904D0" w:rsidRPr="00D440C9" w:rsidTr="005F1B83">
        <w:trPr>
          <w:trHeight w:val="123"/>
        </w:trPr>
        <w:tc>
          <w:tcPr>
            <w:tcW w:w="3261" w:type="dxa"/>
            <w:tcBorders>
              <w:top w:val="nil"/>
              <w:left w:val="nil"/>
              <w:bottom w:val="nil"/>
              <w:right w:val="nil"/>
            </w:tcBorders>
            <w:shd w:val="clear" w:color="000000" w:fill="FFFFFF"/>
            <w:vAlign w:val="bottom"/>
            <w:hideMark/>
          </w:tcPr>
          <w:p w:rsidR="008904D0" w:rsidRPr="00D440C9" w:rsidRDefault="008904D0" w:rsidP="00991C20">
            <w:pPr>
              <w:rPr>
                <w:rFonts w:ascii="Arial" w:hAnsi="Arial" w:cs="Arial"/>
                <w:sz w:val="18"/>
                <w:szCs w:val="18"/>
                <w:lang w:val="en-GB" w:eastAsia="en-GB"/>
              </w:rPr>
            </w:pPr>
            <w:r w:rsidRPr="00D440C9">
              <w:rPr>
                <w:rFonts w:ascii="Arial" w:hAnsi="Arial" w:cs="Arial"/>
                <w:sz w:val="18"/>
                <w:szCs w:val="18"/>
                <w:lang w:val="en-GB" w:eastAsia="en-GB"/>
              </w:rPr>
              <w:t xml:space="preserve">Purchase of </w:t>
            </w:r>
            <w:r>
              <w:rPr>
                <w:rFonts w:ascii="Arial" w:hAnsi="Arial" w:cs="Arial"/>
                <w:sz w:val="18"/>
                <w:szCs w:val="18"/>
                <w:lang w:val="en-GB" w:eastAsia="en-GB"/>
              </w:rPr>
              <w:t xml:space="preserve">own </w:t>
            </w:r>
            <w:r w:rsidRPr="00D440C9">
              <w:rPr>
                <w:rFonts w:ascii="Arial" w:hAnsi="Arial" w:cs="Arial"/>
                <w:sz w:val="18"/>
                <w:szCs w:val="18"/>
                <w:lang w:val="en-GB" w:eastAsia="en-GB"/>
              </w:rPr>
              <w:t>shares</w:t>
            </w:r>
          </w:p>
        </w:tc>
        <w:tc>
          <w:tcPr>
            <w:tcW w:w="765"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35"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803"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(1,222)</w:t>
            </w:r>
          </w:p>
        </w:tc>
        <w:tc>
          <w:tcPr>
            <w:tcW w:w="90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3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78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(1,222)</w:t>
            </w:r>
          </w:p>
        </w:tc>
        <w:tc>
          <w:tcPr>
            <w:tcW w:w="103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78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(1,222)</w:t>
            </w:r>
          </w:p>
        </w:tc>
      </w:tr>
      <w:tr w:rsidR="008904D0" w:rsidRPr="00D440C9" w:rsidTr="005F1B83">
        <w:trPr>
          <w:trHeight w:val="142"/>
        </w:trPr>
        <w:tc>
          <w:tcPr>
            <w:tcW w:w="3261" w:type="dxa"/>
            <w:tcBorders>
              <w:top w:val="nil"/>
              <w:left w:val="nil"/>
              <w:bottom w:val="nil"/>
              <w:right w:val="nil"/>
            </w:tcBorders>
            <w:shd w:val="clear" w:color="000000" w:fill="FFFFFF"/>
            <w:vAlign w:val="bottom"/>
            <w:hideMark/>
          </w:tcPr>
          <w:p w:rsidR="008904D0" w:rsidRPr="00D440C9" w:rsidRDefault="008904D0" w:rsidP="00991C20">
            <w:pPr>
              <w:rPr>
                <w:rFonts w:ascii="Arial" w:hAnsi="Arial" w:cs="Arial"/>
                <w:sz w:val="18"/>
                <w:szCs w:val="18"/>
                <w:lang w:val="en-GB" w:eastAsia="en-GB"/>
              </w:rPr>
            </w:pPr>
            <w:r w:rsidRPr="00D440C9">
              <w:rPr>
                <w:rFonts w:ascii="Arial" w:hAnsi="Arial" w:cs="Arial"/>
                <w:sz w:val="18"/>
                <w:szCs w:val="18"/>
                <w:lang w:val="en-GB" w:eastAsia="en-GB"/>
              </w:rPr>
              <w:t>ESOP shares allocated</w:t>
            </w:r>
          </w:p>
        </w:tc>
        <w:tc>
          <w:tcPr>
            <w:tcW w:w="765"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35"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803"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802</w:t>
            </w:r>
          </w:p>
        </w:tc>
        <w:tc>
          <w:tcPr>
            <w:tcW w:w="90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3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(802)</w:t>
            </w:r>
          </w:p>
        </w:tc>
        <w:tc>
          <w:tcPr>
            <w:tcW w:w="78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103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787" w:type="dxa"/>
            <w:tcBorders>
              <w:top w:val="nil"/>
              <w:left w:val="nil"/>
              <w:bottom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r>
      <w:tr w:rsidR="008904D0" w:rsidRPr="00D440C9" w:rsidTr="005F1B83">
        <w:trPr>
          <w:trHeight w:val="150"/>
        </w:trPr>
        <w:tc>
          <w:tcPr>
            <w:tcW w:w="3261" w:type="dxa"/>
            <w:tcBorders>
              <w:top w:val="nil"/>
              <w:left w:val="nil"/>
              <w:right w:val="nil"/>
            </w:tcBorders>
            <w:shd w:val="clear" w:color="000000" w:fill="FFFFFF"/>
            <w:vAlign w:val="bottom"/>
            <w:hideMark/>
          </w:tcPr>
          <w:p w:rsidR="008904D0" w:rsidRPr="00D440C9" w:rsidRDefault="008904D0" w:rsidP="00991C20">
            <w:pPr>
              <w:rPr>
                <w:rFonts w:ascii="Arial" w:hAnsi="Arial" w:cs="Arial"/>
                <w:sz w:val="18"/>
                <w:szCs w:val="18"/>
                <w:lang w:val="en-GB" w:eastAsia="en-GB"/>
              </w:rPr>
            </w:pPr>
            <w:r w:rsidRPr="00D440C9">
              <w:rPr>
                <w:rFonts w:ascii="Arial" w:hAnsi="Arial" w:cs="Arial"/>
                <w:sz w:val="18"/>
                <w:szCs w:val="18"/>
                <w:lang w:val="en-GB" w:eastAsia="en-GB"/>
              </w:rPr>
              <w:t>Credit in respect of share option schemes</w:t>
            </w:r>
          </w:p>
        </w:tc>
        <w:tc>
          <w:tcPr>
            <w:tcW w:w="765" w:type="dxa"/>
            <w:tcBorders>
              <w:top w:val="nil"/>
              <w:left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35" w:type="dxa"/>
            <w:tcBorders>
              <w:top w:val="nil"/>
              <w:left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803" w:type="dxa"/>
            <w:tcBorders>
              <w:top w:val="nil"/>
              <w:left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07" w:type="dxa"/>
            <w:tcBorders>
              <w:top w:val="nil"/>
              <w:left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37" w:type="dxa"/>
            <w:tcBorders>
              <w:top w:val="nil"/>
              <w:left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513</w:t>
            </w:r>
          </w:p>
        </w:tc>
        <w:tc>
          <w:tcPr>
            <w:tcW w:w="787" w:type="dxa"/>
            <w:tcBorders>
              <w:top w:val="nil"/>
              <w:left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513</w:t>
            </w:r>
          </w:p>
        </w:tc>
        <w:tc>
          <w:tcPr>
            <w:tcW w:w="1037" w:type="dxa"/>
            <w:tcBorders>
              <w:top w:val="nil"/>
              <w:left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787" w:type="dxa"/>
            <w:tcBorders>
              <w:top w:val="nil"/>
              <w:left w:val="nil"/>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513</w:t>
            </w:r>
          </w:p>
        </w:tc>
      </w:tr>
      <w:tr w:rsidR="008904D0" w:rsidRPr="00D440C9" w:rsidTr="005F1B83">
        <w:trPr>
          <w:trHeight w:val="211"/>
        </w:trPr>
        <w:tc>
          <w:tcPr>
            <w:tcW w:w="3261" w:type="dxa"/>
            <w:tcBorders>
              <w:top w:val="nil"/>
              <w:left w:val="nil"/>
              <w:bottom w:val="single" w:sz="4" w:space="0" w:color="auto"/>
              <w:right w:val="nil"/>
            </w:tcBorders>
            <w:shd w:val="clear" w:color="000000" w:fill="FFFFFF"/>
            <w:vAlign w:val="bottom"/>
            <w:hideMark/>
          </w:tcPr>
          <w:p w:rsidR="008904D0" w:rsidRPr="00D440C9" w:rsidRDefault="008904D0" w:rsidP="00991C20">
            <w:pPr>
              <w:rPr>
                <w:rFonts w:ascii="Arial" w:hAnsi="Arial" w:cs="Arial"/>
                <w:sz w:val="18"/>
                <w:szCs w:val="18"/>
                <w:lang w:val="en-GB" w:eastAsia="en-GB"/>
              </w:rPr>
            </w:pPr>
            <w:r w:rsidRPr="00D440C9">
              <w:rPr>
                <w:rFonts w:ascii="Arial" w:hAnsi="Arial" w:cs="Arial"/>
                <w:sz w:val="18"/>
                <w:szCs w:val="18"/>
                <w:lang w:val="en-GB" w:eastAsia="en-GB"/>
              </w:rPr>
              <w:t>Deferred tax on items taken to equity</w:t>
            </w:r>
          </w:p>
        </w:tc>
        <w:tc>
          <w:tcPr>
            <w:tcW w:w="765"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35"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803"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907"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w:t>
            </w:r>
          </w:p>
        </w:tc>
        <w:tc>
          <w:tcPr>
            <w:tcW w:w="937"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(202)</w:t>
            </w:r>
          </w:p>
        </w:tc>
        <w:tc>
          <w:tcPr>
            <w:tcW w:w="787"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(202)</w:t>
            </w:r>
          </w:p>
        </w:tc>
        <w:tc>
          <w:tcPr>
            <w:tcW w:w="1037"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 xml:space="preserve">-  </w:t>
            </w:r>
          </w:p>
        </w:tc>
        <w:tc>
          <w:tcPr>
            <w:tcW w:w="787" w:type="dxa"/>
            <w:tcBorders>
              <w:top w:val="nil"/>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sz w:val="18"/>
                <w:szCs w:val="18"/>
                <w:lang w:val="en-GB"/>
              </w:rPr>
            </w:pPr>
            <w:r w:rsidRPr="008904D0">
              <w:rPr>
                <w:rFonts w:ascii="Arial" w:hAnsi="Arial" w:cs="Arial"/>
                <w:sz w:val="18"/>
                <w:szCs w:val="18"/>
                <w:lang w:val="en-GB"/>
              </w:rPr>
              <w:t>(202)</w:t>
            </w:r>
          </w:p>
        </w:tc>
      </w:tr>
      <w:tr w:rsidR="008904D0" w:rsidRPr="00D440C9" w:rsidTr="00B92C9F">
        <w:trPr>
          <w:trHeight w:val="67"/>
        </w:trPr>
        <w:tc>
          <w:tcPr>
            <w:tcW w:w="3261" w:type="dxa"/>
            <w:tcBorders>
              <w:top w:val="single" w:sz="4" w:space="0" w:color="auto"/>
              <w:left w:val="nil"/>
              <w:bottom w:val="single" w:sz="4" w:space="0" w:color="auto"/>
              <w:right w:val="nil"/>
            </w:tcBorders>
            <w:shd w:val="clear" w:color="000000" w:fill="FFFFFF"/>
            <w:vAlign w:val="bottom"/>
            <w:hideMark/>
          </w:tcPr>
          <w:p w:rsidR="008904D0" w:rsidRPr="00D440C9" w:rsidRDefault="00A51AEE" w:rsidP="00991C20">
            <w:pPr>
              <w:rPr>
                <w:rFonts w:ascii="Arial" w:hAnsi="Arial" w:cs="Arial"/>
                <w:sz w:val="18"/>
                <w:szCs w:val="18"/>
                <w:lang w:val="en-GB" w:eastAsia="en-GB"/>
              </w:rPr>
            </w:pPr>
            <w:r>
              <w:rPr>
                <w:rFonts w:ascii="Arial" w:hAnsi="Arial" w:cs="Arial"/>
                <w:sz w:val="18"/>
                <w:szCs w:val="18"/>
                <w:lang w:val="en-GB" w:eastAsia="en-GB"/>
              </w:rPr>
              <w:t>At 29</w:t>
            </w:r>
            <w:r w:rsidR="008904D0">
              <w:rPr>
                <w:rFonts w:ascii="Arial" w:hAnsi="Arial" w:cs="Arial"/>
                <w:sz w:val="18"/>
                <w:szCs w:val="18"/>
                <w:lang w:val="en-GB" w:eastAsia="en-GB"/>
              </w:rPr>
              <w:t xml:space="preserve"> February 201</w:t>
            </w:r>
            <w:r>
              <w:rPr>
                <w:rFonts w:ascii="Arial" w:hAnsi="Arial" w:cs="Arial"/>
                <w:sz w:val="18"/>
                <w:szCs w:val="18"/>
                <w:lang w:val="en-GB" w:eastAsia="en-GB"/>
              </w:rPr>
              <w:t>2</w:t>
            </w:r>
          </w:p>
        </w:tc>
        <w:tc>
          <w:tcPr>
            <w:tcW w:w="765" w:type="dxa"/>
            <w:tcBorders>
              <w:top w:val="single" w:sz="4" w:space="0" w:color="auto"/>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bCs/>
                <w:sz w:val="18"/>
                <w:szCs w:val="18"/>
                <w:lang w:val="en-GB"/>
              </w:rPr>
            </w:pPr>
            <w:r w:rsidRPr="008904D0">
              <w:rPr>
                <w:rFonts w:ascii="Arial" w:hAnsi="Arial" w:cs="Arial"/>
                <w:bCs/>
                <w:sz w:val="18"/>
                <w:szCs w:val="18"/>
                <w:lang w:val="en-GB"/>
              </w:rPr>
              <w:t>2,160</w:t>
            </w:r>
          </w:p>
        </w:tc>
        <w:tc>
          <w:tcPr>
            <w:tcW w:w="935" w:type="dxa"/>
            <w:tcBorders>
              <w:top w:val="single" w:sz="4" w:space="0" w:color="auto"/>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bCs/>
                <w:sz w:val="18"/>
                <w:szCs w:val="18"/>
                <w:lang w:val="en-GB"/>
              </w:rPr>
            </w:pPr>
            <w:r w:rsidRPr="008904D0">
              <w:rPr>
                <w:rFonts w:ascii="Arial" w:hAnsi="Arial" w:cs="Arial"/>
                <w:bCs/>
                <w:sz w:val="18"/>
                <w:szCs w:val="18"/>
                <w:lang w:val="en-GB"/>
              </w:rPr>
              <w:t>12,018</w:t>
            </w:r>
          </w:p>
        </w:tc>
        <w:tc>
          <w:tcPr>
            <w:tcW w:w="803" w:type="dxa"/>
            <w:tcBorders>
              <w:top w:val="single" w:sz="4" w:space="0" w:color="auto"/>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bCs/>
                <w:sz w:val="18"/>
                <w:szCs w:val="18"/>
                <w:lang w:val="en-GB"/>
              </w:rPr>
            </w:pPr>
            <w:r w:rsidRPr="008904D0">
              <w:rPr>
                <w:rFonts w:ascii="Arial" w:hAnsi="Arial" w:cs="Arial"/>
                <w:bCs/>
                <w:sz w:val="18"/>
                <w:szCs w:val="18"/>
                <w:lang w:val="en-GB"/>
              </w:rPr>
              <w:t>(3,695)</w:t>
            </w:r>
          </w:p>
        </w:tc>
        <w:tc>
          <w:tcPr>
            <w:tcW w:w="907" w:type="dxa"/>
            <w:tcBorders>
              <w:top w:val="single" w:sz="4" w:space="0" w:color="auto"/>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bCs/>
                <w:sz w:val="18"/>
                <w:szCs w:val="18"/>
                <w:lang w:val="en-GB"/>
              </w:rPr>
            </w:pPr>
            <w:r w:rsidRPr="008904D0">
              <w:rPr>
                <w:rFonts w:ascii="Arial" w:hAnsi="Arial" w:cs="Arial"/>
                <w:bCs/>
                <w:sz w:val="18"/>
                <w:szCs w:val="18"/>
                <w:lang w:val="en-GB"/>
              </w:rPr>
              <w:t>26,664</w:t>
            </w:r>
          </w:p>
        </w:tc>
        <w:tc>
          <w:tcPr>
            <w:tcW w:w="937" w:type="dxa"/>
            <w:tcBorders>
              <w:top w:val="single" w:sz="4" w:space="0" w:color="auto"/>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bCs/>
                <w:sz w:val="18"/>
                <w:szCs w:val="18"/>
                <w:lang w:val="en-GB"/>
              </w:rPr>
            </w:pPr>
            <w:r w:rsidRPr="008904D0">
              <w:rPr>
                <w:rFonts w:ascii="Arial" w:hAnsi="Arial" w:cs="Arial"/>
                <w:bCs/>
                <w:sz w:val="18"/>
                <w:szCs w:val="18"/>
                <w:lang w:val="en-GB"/>
              </w:rPr>
              <w:t>29,471</w:t>
            </w:r>
          </w:p>
        </w:tc>
        <w:tc>
          <w:tcPr>
            <w:tcW w:w="787" w:type="dxa"/>
            <w:tcBorders>
              <w:top w:val="single" w:sz="4" w:space="0" w:color="auto"/>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bCs/>
                <w:sz w:val="18"/>
                <w:szCs w:val="18"/>
                <w:lang w:val="en-GB"/>
              </w:rPr>
            </w:pPr>
            <w:r w:rsidRPr="008904D0">
              <w:rPr>
                <w:rFonts w:ascii="Arial" w:hAnsi="Arial" w:cs="Arial"/>
                <w:bCs/>
                <w:sz w:val="18"/>
                <w:szCs w:val="18"/>
                <w:lang w:val="en-GB"/>
              </w:rPr>
              <w:t>66,618</w:t>
            </w:r>
          </w:p>
        </w:tc>
        <w:tc>
          <w:tcPr>
            <w:tcW w:w="1037" w:type="dxa"/>
            <w:tcBorders>
              <w:top w:val="single" w:sz="4" w:space="0" w:color="auto"/>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bCs/>
                <w:sz w:val="18"/>
                <w:szCs w:val="18"/>
                <w:lang w:val="en-GB"/>
              </w:rPr>
            </w:pPr>
            <w:r w:rsidRPr="008904D0">
              <w:rPr>
                <w:rFonts w:ascii="Arial" w:hAnsi="Arial" w:cs="Arial"/>
                <w:bCs/>
                <w:sz w:val="18"/>
                <w:szCs w:val="18"/>
                <w:lang w:val="en-GB"/>
              </w:rPr>
              <w:t>220</w:t>
            </w:r>
          </w:p>
        </w:tc>
        <w:tc>
          <w:tcPr>
            <w:tcW w:w="787" w:type="dxa"/>
            <w:tcBorders>
              <w:top w:val="single" w:sz="4" w:space="0" w:color="auto"/>
              <w:left w:val="nil"/>
              <w:bottom w:val="single" w:sz="4" w:space="0" w:color="auto"/>
              <w:right w:val="nil"/>
            </w:tcBorders>
            <w:shd w:val="clear" w:color="auto" w:fill="auto"/>
            <w:vAlign w:val="bottom"/>
            <w:hideMark/>
          </w:tcPr>
          <w:p w:rsidR="008904D0" w:rsidRPr="008904D0" w:rsidRDefault="008904D0" w:rsidP="00A51AEE">
            <w:pPr>
              <w:jc w:val="right"/>
              <w:rPr>
                <w:rFonts w:ascii="Arial" w:hAnsi="Arial" w:cs="Arial"/>
                <w:bCs/>
                <w:sz w:val="18"/>
                <w:szCs w:val="18"/>
                <w:lang w:val="en-GB"/>
              </w:rPr>
            </w:pPr>
            <w:r w:rsidRPr="008904D0">
              <w:rPr>
                <w:rFonts w:ascii="Arial" w:hAnsi="Arial" w:cs="Arial"/>
                <w:bCs/>
                <w:sz w:val="18"/>
                <w:szCs w:val="18"/>
                <w:lang w:val="en-GB"/>
              </w:rPr>
              <w:t>66,838</w:t>
            </w:r>
          </w:p>
        </w:tc>
      </w:tr>
      <w:tr w:rsidR="005F1B83" w:rsidRPr="00D440C9" w:rsidTr="00B92C9F">
        <w:trPr>
          <w:trHeight w:val="146"/>
        </w:trPr>
        <w:tc>
          <w:tcPr>
            <w:tcW w:w="3261" w:type="dxa"/>
            <w:tcBorders>
              <w:top w:val="single" w:sz="4" w:space="0" w:color="auto"/>
              <w:left w:val="single" w:sz="4" w:space="0" w:color="auto"/>
              <w:bottom w:val="nil"/>
              <w:right w:val="nil"/>
            </w:tcBorders>
            <w:shd w:val="clear" w:color="000000" w:fill="FFFFFF"/>
            <w:vAlign w:val="bottom"/>
            <w:hideMark/>
          </w:tcPr>
          <w:p w:rsidR="005F1B83" w:rsidRPr="00D440C9" w:rsidRDefault="005F1B83" w:rsidP="005F1B83">
            <w:pPr>
              <w:rPr>
                <w:rFonts w:ascii="Arial" w:hAnsi="Arial" w:cs="Arial"/>
                <w:sz w:val="18"/>
                <w:szCs w:val="18"/>
                <w:lang w:val="en-GB"/>
              </w:rPr>
            </w:pPr>
            <w:r w:rsidRPr="00D440C9">
              <w:rPr>
                <w:rFonts w:ascii="Arial" w:hAnsi="Arial" w:cs="Arial"/>
                <w:sz w:val="18"/>
                <w:szCs w:val="18"/>
                <w:lang w:val="en-GB"/>
              </w:rPr>
              <w:t>Profit for the year</w:t>
            </w:r>
          </w:p>
        </w:tc>
        <w:tc>
          <w:tcPr>
            <w:tcW w:w="765" w:type="dxa"/>
            <w:tcBorders>
              <w:top w:val="single" w:sz="4" w:space="0" w:color="auto"/>
              <w:left w:val="nil"/>
              <w:bottom w:val="nil"/>
              <w:right w:val="nil"/>
            </w:tcBorders>
            <w:shd w:val="clear" w:color="auto" w:fill="auto"/>
            <w:vAlign w:val="bottom"/>
            <w:hideMark/>
          </w:tcPr>
          <w:p w:rsidR="005F1B83" w:rsidRPr="00D440C9" w:rsidRDefault="005F1B83" w:rsidP="005F1B83">
            <w:pPr>
              <w:jc w:val="right"/>
              <w:rPr>
                <w:rFonts w:ascii="Arial" w:hAnsi="Arial" w:cs="Arial"/>
                <w:sz w:val="18"/>
                <w:szCs w:val="18"/>
                <w:lang w:val="en-GB"/>
              </w:rPr>
            </w:pPr>
            <w:r w:rsidRPr="00D440C9">
              <w:rPr>
                <w:rFonts w:ascii="Arial" w:hAnsi="Arial" w:cs="Arial"/>
                <w:sz w:val="18"/>
                <w:szCs w:val="18"/>
                <w:lang w:val="en-GB"/>
              </w:rPr>
              <w:t xml:space="preserve">-  </w:t>
            </w:r>
          </w:p>
        </w:tc>
        <w:tc>
          <w:tcPr>
            <w:tcW w:w="935" w:type="dxa"/>
            <w:tcBorders>
              <w:top w:val="single" w:sz="4" w:space="0" w:color="auto"/>
              <w:left w:val="nil"/>
              <w:bottom w:val="nil"/>
              <w:right w:val="nil"/>
            </w:tcBorders>
            <w:shd w:val="clear" w:color="auto" w:fill="auto"/>
            <w:vAlign w:val="bottom"/>
            <w:hideMark/>
          </w:tcPr>
          <w:p w:rsidR="005F1B83" w:rsidRPr="00D440C9" w:rsidRDefault="005F1B83" w:rsidP="005F1B83">
            <w:pPr>
              <w:jc w:val="right"/>
              <w:rPr>
                <w:rFonts w:ascii="Arial" w:hAnsi="Arial" w:cs="Arial"/>
                <w:sz w:val="18"/>
                <w:szCs w:val="18"/>
                <w:lang w:val="en-GB"/>
              </w:rPr>
            </w:pPr>
            <w:r w:rsidRPr="00D440C9">
              <w:rPr>
                <w:rFonts w:ascii="Arial" w:hAnsi="Arial" w:cs="Arial"/>
                <w:sz w:val="18"/>
                <w:szCs w:val="18"/>
                <w:lang w:val="en-GB"/>
              </w:rPr>
              <w:t xml:space="preserve">-  </w:t>
            </w:r>
          </w:p>
        </w:tc>
        <w:tc>
          <w:tcPr>
            <w:tcW w:w="803" w:type="dxa"/>
            <w:tcBorders>
              <w:top w:val="single" w:sz="4" w:space="0" w:color="auto"/>
              <w:left w:val="nil"/>
              <w:bottom w:val="nil"/>
              <w:right w:val="nil"/>
            </w:tcBorders>
            <w:shd w:val="clear" w:color="auto" w:fill="auto"/>
            <w:vAlign w:val="bottom"/>
            <w:hideMark/>
          </w:tcPr>
          <w:p w:rsidR="005F1B83" w:rsidRPr="00D440C9" w:rsidRDefault="005F1B83" w:rsidP="005F1B83">
            <w:pPr>
              <w:jc w:val="right"/>
              <w:rPr>
                <w:rFonts w:ascii="Arial" w:hAnsi="Arial" w:cs="Arial"/>
                <w:sz w:val="18"/>
                <w:szCs w:val="18"/>
                <w:lang w:val="en-GB"/>
              </w:rPr>
            </w:pPr>
            <w:r w:rsidRPr="00D440C9">
              <w:rPr>
                <w:rFonts w:ascii="Arial" w:hAnsi="Arial" w:cs="Arial"/>
                <w:sz w:val="18"/>
                <w:szCs w:val="18"/>
                <w:lang w:val="en-GB"/>
              </w:rPr>
              <w:t xml:space="preserve">-  </w:t>
            </w:r>
          </w:p>
        </w:tc>
        <w:tc>
          <w:tcPr>
            <w:tcW w:w="907" w:type="dxa"/>
            <w:tcBorders>
              <w:top w:val="single" w:sz="4" w:space="0" w:color="auto"/>
              <w:left w:val="nil"/>
              <w:bottom w:val="nil"/>
              <w:right w:val="nil"/>
            </w:tcBorders>
            <w:shd w:val="clear" w:color="auto" w:fill="auto"/>
            <w:vAlign w:val="bottom"/>
            <w:hideMark/>
          </w:tcPr>
          <w:p w:rsidR="005F1B83" w:rsidRPr="00D440C9" w:rsidRDefault="005F1B83" w:rsidP="005F1B83">
            <w:pPr>
              <w:jc w:val="right"/>
              <w:rPr>
                <w:rFonts w:ascii="Arial" w:hAnsi="Arial" w:cs="Arial"/>
                <w:sz w:val="18"/>
                <w:szCs w:val="18"/>
                <w:lang w:val="en-GB"/>
              </w:rPr>
            </w:pPr>
            <w:r w:rsidRPr="00D440C9">
              <w:rPr>
                <w:rFonts w:ascii="Arial" w:hAnsi="Arial" w:cs="Arial"/>
                <w:sz w:val="18"/>
                <w:szCs w:val="18"/>
                <w:lang w:val="en-GB"/>
              </w:rPr>
              <w:t xml:space="preserve">-  </w:t>
            </w:r>
          </w:p>
        </w:tc>
        <w:tc>
          <w:tcPr>
            <w:tcW w:w="937" w:type="dxa"/>
            <w:tcBorders>
              <w:top w:val="single" w:sz="4" w:space="0" w:color="auto"/>
              <w:left w:val="nil"/>
              <w:bottom w:val="nil"/>
              <w:right w:val="nil"/>
            </w:tcBorders>
            <w:shd w:val="clear" w:color="auto" w:fill="auto"/>
            <w:vAlign w:val="bottom"/>
            <w:hideMark/>
          </w:tcPr>
          <w:p w:rsidR="005F1B83" w:rsidRPr="00D440C9" w:rsidRDefault="009701CB" w:rsidP="00A51AEE">
            <w:pPr>
              <w:jc w:val="right"/>
              <w:rPr>
                <w:rFonts w:ascii="Arial" w:hAnsi="Arial" w:cs="Arial"/>
                <w:sz w:val="18"/>
                <w:szCs w:val="18"/>
                <w:lang w:val="en-GB"/>
              </w:rPr>
            </w:pPr>
            <w:r>
              <w:rPr>
                <w:rFonts w:ascii="Arial" w:hAnsi="Arial" w:cs="Arial"/>
                <w:sz w:val="18"/>
                <w:szCs w:val="18"/>
                <w:lang w:val="en-GB"/>
              </w:rPr>
              <w:t>6</w:t>
            </w:r>
            <w:r w:rsidR="005F1B83" w:rsidRPr="00D440C9">
              <w:rPr>
                <w:rFonts w:ascii="Arial" w:hAnsi="Arial" w:cs="Arial"/>
                <w:sz w:val="18"/>
                <w:szCs w:val="18"/>
                <w:lang w:val="en-GB"/>
              </w:rPr>
              <w:t>,</w:t>
            </w:r>
            <w:r w:rsidR="00B92C9F">
              <w:rPr>
                <w:rFonts w:ascii="Arial" w:hAnsi="Arial" w:cs="Arial"/>
                <w:sz w:val="18"/>
                <w:szCs w:val="18"/>
                <w:lang w:val="en-GB"/>
              </w:rPr>
              <w:t>8</w:t>
            </w:r>
            <w:r w:rsidR="00A51AEE">
              <w:rPr>
                <w:rFonts w:ascii="Arial" w:hAnsi="Arial" w:cs="Arial"/>
                <w:sz w:val="18"/>
                <w:szCs w:val="18"/>
                <w:lang w:val="en-GB"/>
              </w:rPr>
              <w:t>24</w:t>
            </w:r>
          </w:p>
        </w:tc>
        <w:tc>
          <w:tcPr>
            <w:tcW w:w="787" w:type="dxa"/>
            <w:tcBorders>
              <w:top w:val="single" w:sz="4" w:space="0" w:color="auto"/>
              <w:left w:val="nil"/>
              <w:bottom w:val="nil"/>
              <w:right w:val="nil"/>
            </w:tcBorders>
            <w:shd w:val="clear" w:color="auto" w:fill="auto"/>
            <w:vAlign w:val="bottom"/>
            <w:hideMark/>
          </w:tcPr>
          <w:p w:rsidR="005F1B83" w:rsidRPr="00D440C9" w:rsidRDefault="009701CB" w:rsidP="00A51AEE">
            <w:pPr>
              <w:jc w:val="right"/>
              <w:rPr>
                <w:rFonts w:ascii="Arial" w:hAnsi="Arial" w:cs="Arial"/>
                <w:sz w:val="18"/>
                <w:szCs w:val="18"/>
                <w:lang w:val="en-GB"/>
              </w:rPr>
            </w:pPr>
            <w:r>
              <w:rPr>
                <w:rFonts w:ascii="Arial" w:hAnsi="Arial" w:cs="Arial"/>
                <w:sz w:val="18"/>
                <w:szCs w:val="18"/>
                <w:lang w:val="en-GB"/>
              </w:rPr>
              <w:t>6</w:t>
            </w:r>
            <w:r w:rsidR="005F1B83" w:rsidRPr="00D440C9">
              <w:rPr>
                <w:rFonts w:ascii="Arial" w:hAnsi="Arial" w:cs="Arial"/>
                <w:sz w:val="18"/>
                <w:szCs w:val="18"/>
                <w:lang w:val="en-GB"/>
              </w:rPr>
              <w:t>,</w:t>
            </w:r>
            <w:r w:rsidR="00B92C9F">
              <w:rPr>
                <w:rFonts w:ascii="Arial" w:hAnsi="Arial" w:cs="Arial"/>
                <w:sz w:val="18"/>
                <w:szCs w:val="18"/>
                <w:lang w:val="en-GB"/>
              </w:rPr>
              <w:t>8</w:t>
            </w:r>
            <w:r w:rsidR="00A51AEE">
              <w:rPr>
                <w:rFonts w:ascii="Arial" w:hAnsi="Arial" w:cs="Arial"/>
                <w:sz w:val="18"/>
                <w:szCs w:val="18"/>
                <w:lang w:val="en-GB"/>
              </w:rPr>
              <w:t>24</w:t>
            </w:r>
          </w:p>
        </w:tc>
        <w:tc>
          <w:tcPr>
            <w:tcW w:w="1037" w:type="dxa"/>
            <w:tcBorders>
              <w:top w:val="single" w:sz="4" w:space="0" w:color="auto"/>
              <w:left w:val="nil"/>
              <w:bottom w:val="nil"/>
              <w:right w:val="nil"/>
            </w:tcBorders>
            <w:shd w:val="clear" w:color="auto" w:fill="auto"/>
            <w:vAlign w:val="bottom"/>
            <w:hideMark/>
          </w:tcPr>
          <w:p w:rsidR="005F1B83" w:rsidRPr="00D440C9" w:rsidRDefault="00A51AEE" w:rsidP="009C31BF">
            <w:pPr>
              <w:jc w:val="right"/>
              <w:rPr>
                <w:rFonts w:ascii="Arial" w:hAnsi="Arial" w:cs="Arial"/>
                <w:sz w:val="18"/>
                <w:szCs w:val="18"/>
                <w:lang w:val="en-GB"/>
              </w:rPr>
            </w:pPr>
            <w:r>
              <w:rPr>
                <w:rFonts w:ascii="Arial" w:hAnsi="Arial" w:cs="Arial"/>
                <w:sz w:val="18"/>
                <w:szCs w:val="18"/>
                <w:lang w:val="en-GB"/>
              </w:rPr>
              <w:t>25</w:t>
            </w:r>
          </w:p>
        </w:tc>
        <w:tc>
          <w:tcPr>
            <w:tcW w:w="787" w:type="dxa"/>
            <w:tcBorders>
              <w:top w:val="single" w:sz="4" w:space="0" w:color="auto"/>
              <w:left w:val="nil"/>
              <w:bottom w:val="nil"/>
              <w:right w:val="single" w:sz="4" w:space="0" w:color="auto"/>
            </w:tcBorders>
            <w:shd w:val="clear" w:color="auto" w:fill="auto"/>
            <w:vAlign w:val="bottom"/>
            <w:hideMark/>
          </w:tcPr>
          <w:p w:rsidR="005F1B83" w:rsidRPr="00D440C9" w:rsidRDefault="009701CB" w:rsidP="009C31BF">
            <w:pPr>
              <w:jc w:val="right"/>
              <w:rPr>
                <w:rFonts w:ascii="Arial" w:hAnsi="Arial" w:cs="Arial"/>
                <w:sz w:val="18"/>
                <w:szCs w:val="18"/>
                <w:lang w:val="en-GB"/>
              </w:rPr>
            </w:pPr>
            <w:r>
              <w:rPr>
                <w:rFonts w:ascii="Arial" w:hAnsi="Arial" w:cs="Arial"/>
                <w:sz w:val="18"/>
                <w:szCs w:val="18"/>
                <w:lang w:val="en-GB"/>
              </w:rPr>
              <w:t>6</w:t>
            </w:r>
            <w:r w:rsidR="005F1B83" w:rsidRPr="00D440C9">
              <w:rPr>
                <w:rFonts w:ascii="Arial" w:hAnsi="Arial" w:cs="Arial"/>
                <w:sz w:val="18"/>
                <w:szCs w:val="18"/>
                <w:lang w:val="en-GB"/>
              </w:rPr>
              <w:t>,</w:t>
            </w:r>
            <w:r w:rsidR="00A51AEE">
              <w:rPr>
                <w:rFonts w:ascii="Arial" w:hAnsi="Arial" w:cs="Arial"/>
                <w:sz w:val="18"/>
                <w:szCs w:val="18"/>
                <w:lang w:val="en-GB"/>
              </w:rPr>
              <w:t>849</w:t>
            </w:r>
          </w:p>
        </w:tc>
      </w:tr>
      <w:tr w:rsidR="005F1B83" w:rsidRPr="00D440C9" w:rsidTr="00B92C9F">
        <w:trPr>
          <w:trHeight w:val="77"/>
        </w:trPr>
        <w:tc>
          <w:tcPr>
            <w:tcW w:w="3261" w:type="dxa"/>
            <w:tcBorders>
              <w:top w:val="nil"/>
              <w:left w:val="single" w:sz="4" w:space="0" w:color="auto"/>
              <w:bottom w:val="nil"/>
              <w:right w:val="nil"/>
            </w:tcBorders>
            <w:shd w:val="clear" w:color="000000" w:fill="FFFFFF"/>
            <w:vAlign w:val="bottom"/>
            <w:hideMark/>
          </w:tcPr>
          <w:p w:rsidR="005F1B83" w:rsidRPr="00D440C9" w:rsidRDefault="005F1B83" w:rsidP="005F1B83">
            <w:pPr>
              <w:rPr>
                <w:rFonts w:ascii="Arial" w:hAnsi="Arial" w:cs="Arial"/>
                <w:sz w:val="18"/>
                <w:szCs w:val="18"/>
                <w:lang w:val="en-GB" w:eastAsia="en-GB"/>
              </w:rPr>
            </w:pPr>
            <w:r>
              <w:rPr>
                <w:rFonts w:ascii="Arial" w:hAnsi="Arial" w:cs="Arial"/>
                <w:sz w:val="18"/>
                <w:szCs w:val="18"/>
                <w:lang w:val="en-GB" w:eastAsia="en-GB"/>
              </w:rPr>
              <w:t>Foreign e</w:t>
            </w:r>
            <w:r w:rsidRPr="00D440C9">
              <w:rPr>
                <w:rFonts w:ascii="Arial" w:hAnsi="Arial" w:cs="Arial"/>
                <w:sz w:val="18"/>
                <w:szCs w:val="18"/>
                <w:lang w:val="en-GB" w:eastAsia="en-GB"/>
              </w:rPr>
              <w:t>xchange differences</w:t>
            </w:r>
          </w:p>
        </w:tc>
        <w:tc>
          <w:tcPr>
            <w:tcW w:w="765" w:type="dxa"/>
            <w:tcBorders>
              <w:top w:val="nil"/>
              <w:left w:val="nil"/>
              <w:bottom w:val="nil"/>
              <w:right w:val="nil"/>
            </w:tcBorders>
            <w:shd w:val="clear" w:color="auto" w:fill="auto"/>
            <w:vAlign w:val="bottom"/>
            <w:hideMark/>
          </w:tcPr>
          <w:p w:rsidR="005F1B83" w:rsidRPr="00D440C9" w:rsidRDefault="005F1B83" w:rsidP="005F1B83">
            <w:pPr>
              <w:jc w:val="right"/>
              <w:rPr>
                <w:rFonts w:ascii="Arial" w:hAnsi="Arial" w:cs="Arial"/>
                <w:sz w:val="18"/>
                <w:szCs w:val="18"/>
                <w:lang w:val="en-GB" w:eastAsia="en-GB"/>
              </w:rPr>
            </w:pPr>
            <w:r w:rsidRPr="00D440C9">
              <w:rPr>
                <w:rFonts w:ascii="Arial" w:hAnsi="Arial" w:cs="Arial"/>
                <w:sz w:val="18"/>
                <w:szCs w:val="18"/>
                <w:lang w:val="en-GB" w:eastAsia="en-GB"/>
              </w:rPr>
              <w:t xml:space="preserve">-  </w:t>
            </w:r>
          </w:p>
        </w:tc>
        <w:tc>
          <w:tcPr>
            <w:tcW w:w="935" w:type="dxa"/>
            <w:tcBorders>
              <w:top w:val="nil"/>
              <w:left w:val="nil"/>
              <w:bottom w:val="nil"/>
              <w:right w:val="nil"/>
            </w:tcBorders>
            <w:shd w:val="clear" w:color="auto" w:fill="auto"/>
            <w:vAlign w:val="bottom"/>
            <w:hideMark/>
          </w:tcPr>
          <w:p w:rsidR="005F1B83" w:rsidRPr="00D440C9" w:rsidRDefault="005F1B83" w:rsidP="005F1B83">
            <w:pPr>
              <w:jc w:val="right"/>
              <w:rPr>
                <w:rFonts w:ascii="Arial" w:hAnsi="Arial" w:cs="Arial"/>
                <w:sz w:val="18"/>
                <w:szCs w:val="18"/>
                <w:lang w:val="en-GB" w:eastAsia="en-GB"/>
              </w:rPr>
            </w:pPr>
            <w:r w:rsidRPr="00D440C9">
              <w:rPr>
                <w:rFonts w:ascii="Arial" w:hAnsi="Arial" w:cs="Arial"/>
                <w:sz w:val="18"/>
                <w:szCs w:val="18"/>
                <w:lang w:val="en-GB" w:eastAsia="en-GB"/>
              </w:rPr>
              <w:t xml:space="preserve">-  </w:t>
            </w:r>
          </w:p>
        </w:tc>
        <w:tc>
          <w:tcPr>
            <w:tcW w:w="803" w:type="dxa"/>
            <w:tcBorders>
              <w:top w:val="nil"/>
              <w:left w:val="nil"/>
              <w:bottom w:val="nil"/>
              <w:right w:val="nil"/>
            </w:tcBorders>
            <w:shd w:val="clear" w:color="auto" w:fill="auto"/>
            <w:vAlign w:val="bottom"/>
            <w:hideMark/>
          </w:tcPr>
          <w:p w:rsidR="005F1B83" w:rsidRPr="00D440C9" w:rsidRDefault="005F1B83" w:rsidP="005F1B83">
            <w:pPr>
              <w:jc w:val="right"/>
              <w:rPr>
                <w:rFonts w:ascii="Arial" w:hAnsi="Arial" w:cs="Arial"/>
                <w:sz w:val="18"/>
                <w:szCs w:val="18"/>
                <w:lang w:val="en-GB" w:eastAsia="en-GB"/>
              </w:rPr>
            </w:pPr>
            <w:r w:rsidRPr="00D440C9">
              <w:rPr>
                <w:rFonts w:ascii="Arial" w:hAnsi="Arial" w:cs="Arial"/>
                <w:sz w:val="18"/>
                <w:szCs w:val="18"/>
                <w:lang w:val="en-GB" w:eastAsia="en-GB"/>
              </w:rPr>
              <w:t xml:space="preserve">-  </w:t>
            </w:r>
          </w:p>
        </w:tc>
        <w:tc>
          <w:tcPr>
            <w:tcW w:w="907" w:type="dxa"/>
            <w:tcBorders>
              <w:top w:val="nil"/>
              <w:left w:val="nil"/>
              <w:bottom w:val="nil"/>
              <w:right w:val="nil"/>
            </w:tcBorders>
            <w:shd w:val="clear" w:color="auto" w:fill="auto"/>
            <w:vAlign w:val="bottom"/>
            <w:hideMark/>
          </w:tcPr>
          <w:p w:rsidR="005F1B83" w:rsidRPr="00D440C9" w:rsidRDefault="009701CB" w:rsidP="00B92C9F">
            <w:pPr>
              <w:jc w:val="right"/>
              <w:rPr>
                <w:rFonts w:ascii="Arial" w:hAnsi="Arial" w:cs="Arial"/>
                <w:sz w:val="18"/>
                <w:szCs w:val="18"/>
                <w:lang w:val="en-GB" w:eastAsia="en-GB"/>
              </w:rPr>
            </w:pPr>
            <w:r>
              <w:rPr>
                <w:rFonts w:ascii="Arial" w:hAnsi="Arial" w:cs="Arial"/>
                <w:sz w:val="18"/>
                <w:szCs w:val="18"/>
                <w:lang w:val="en-GB" w:eastAsia="en-GB"/>
              </w:rPr>
              <w:t>1</w:t>
            </w:r>
            <w:r w:rsidR="00A51AEE">
              <w:rPr>
                <w:rFonts w:ascii="Arial" w:hAnsi="Arial" w:cs="Arial"/>
                <w:sz w:val="18"/>
                <w:szCs w:val="18"/>
                <w:lang w:val="en-GB" w:eastAsia="en-GB"/>
              </w:rPr>
              <w:t>,13</w:t>
            </w:r>
            <w:r w:rsidR="00B92C9F">
              <w:rPr>
                <w:rFonts w:ascii="Arial" w:hAnsi="Arial" w:cs="Arial"/>
                <w:sz w:val="18"/>
                <w:szCs w:val="18"/>
                <w:lang w:val="en-GB" w:eastAsia="en-GB"/>
              </w:rPr>
              <w:t>1</w:t>
            </w:r>
          </w:p>
        </w:tc>
        <w:tc>
          <w:tcPr>
            <w:tcW w:w="937" w:type="dxa"/>
            <w:tcBorders>
              <w:top w:val="nil"/>
              <w:left w:val="nil"/>
              <w:bottom w:val="nil"/>
              <w:right w:val="nil"/>
            </w:tcBorders>
            <w:shd w:val="clear" w:color="auto" w:fill="auto"/>
            <w:vAlign w:val="bottom"/>
            <w:hideMark/>
          </w:tcPr>
          <w:p w:rsidR="005F1B83" w:rsidRPr="009C31BF" w:rsidRDefault="00A51AEE" w:rsidP="005F1B83">
            <w:pPr>
              <w:jc w:val="right"/>
              <w:rPr>
                <w:rFonts w:ascii="Arial" w:hAnsi="Arial" w:cs="Arial"/>
                <w:sz w:val="18"/>
                <w:szCs w:val="18"/>
                <w:lang w:val="en-GB" w:eastAsia="en-GB"/>
              </w:rPr>
            </w:pPr>
            <w:r>
              <w:rPr>
                <w:rFonts w:ascii="Arial" w:hAnsi="Arial" w:cs="Arial"/>
                <w:sz w:val="18"/>
                <w:szCs w:val="18"/>
                <w:lang w:val="en-GB" w:eastAsia="en-GB"/>
              </w:rPr>
              <w:t>-</w:t>
            </w:r>
            <w:r w:rsidR="005F1B83" w:rsidRPr="009C31BF">
              <w:rPr>
                <w:rFonts w:ascii="Arial" w:hAnsi="Arial" w:cs="Arial"/>
                <w:sz w:val="18"/>
                <w:szCs w:val="18"/>
                <w:lang w:val="en-GB" w:eastAsia="en-GB"/>
              </w:rPr>
              <w:t xml:space="preserve">  </w:t>
            </w:r>
          </w:p>
        </w:tc>
        <w:tc>
          <w:tcPr>
            <w:tcW w:w="787" w:type="dxa"/>
            <w:tcBorders>
              <w:top w:val="nil"/>
              <w:left w:val="nil"/>
              <w:bottom w:val="nil"/>
              <w:right w:val="nil"/>
            </w:tcBorders>
            <w:shd w:val="clear" w:color="auto" w:fill="auto"/>
            <w:vAlign w:val="bottom"/>
            <w:hideMark/>
          </w:tcPr>
          <w:p w:rsidR="005F1B83" w:rsidRPr="00D440C9" w:rsidRDefault="00A51AEE" w:rsidP="00EA4E3C">
            <w:pPr>
              <w:jc w:val="right"/>
              <w:rPr>
                <w:rFonts w:ascii="Arial" w:hAnsi="Arial" w:cs="Arial"/>
                <w:sz w:val="18"/>
                <w:szCs w:val="18"/>
                <w:lang w:val="en-GB" w:eastAsia="en-GB"/>
              </w:rPr>
            </w:pPr>
            <w:r>
              <w:rPr>
                <w:rFonts w:ascii="Arial" w:hAnsi="Arial" w:cs="Arial"/>
                <w:sz w:val="18"/>
                <w:szCs w:val="18"/>
                <w:lang w:val="en-GB" w:eastAsia="en-GB"/>
              </w:rPr>
              <w:t>1,131</w:t>
            </w:r>
          </w:p>
        </w:tc>
        <w:tc>
          <w:tcPr>
            <w:tcW w:w="1037" w:type="dxa"/>
            <w:tcBorders>
              <w:top w:val="nil"/>
              <w:left w:val="nil"/>
              <w:bottom w:val="nil"/>
              <w:right w:val="nil"/>
            </w:tcBorders>
            <w:shd w:val="clear" w:color="auto" w:fill="auto"/>
            <w:vAlign w:val="bottom"/>
            <w:hideMark/>
          </w:tcPr>
          <w:p w:rsidR="005F1B83" w:rsidRPr="00D440C9" w:rsidRDefault="005F1B83" w:rsidP="005F1B83">
            <w:pPr>
              <w:jc w:val="right"/>
              <w:rPr>
                <w:rFonts w:ascii="Arial" w:hAnsi="Arial" w:cs="Arial"/>
                <w:sz w:val="18"/>
                <w:szCs w:val="18"/>
                <w:lang w:val="en-GB" w:eastAsia="en-GB"/>
              </w:rPr>
            </w:pPr>
            <w:r w:rsidRPr="00D440C9">
              <w:rPr>
                <w:rFonts w:ascii="Arial" w:hAnsi="Arial" w:cs="Arial"/>
                <w:sz w:val="18"/>
                <w:szCs w:val="18"/>
                <w:lang w:val="en-GB" w:eastAsia="en-GB"/>
              </w:rPr>
              <w:t xml:space="preserve">-  </w:t>
            </w:r>
          </w:p>
        </w:tc>
        <w:tc>
          <w:tcPr>
            <w:tcW w:w="787" w:type="dxa"/>
            <w:tcBorders>
              <w:top w:val="nil"/>
              <w:left w:val="nil"/>
              <w:bottom w:val="nil"/>
              <w:right w:val="single" w:sz="4" w:space="0" w:color="auto"/>
            </w:tcBorders>
            <w:shd w:val="clear" w:color="auto" w:fill="auto"/>
            <w:vAlign w:val="bottom"/>
            <w:hideMark/>
          </w:tcPr>
          <w:p w:rsidR="005F1B83" w:rsidRPr="00D440C9" w:rsidRDefault="00A51AEE" w:rsidP="00B92C9F">
            <w:pPr>
              <w:jc w:val="right"/>
              <w:rPr>
                <w:rFonts w:ascii="Arial" w:hAnsi="Arial" w:cs="Arial"/>
                <w:sz w:val="18"/>
                <w:szCs w:val="18"/>
                <w:lang w:val="en-GB" w:eastAsia="en-GB"/>
              </w:rPr>
            </w:pPr>
            <w:r>
              <w:rPr>
                <w:rFonts w:ascii="Arial" w:hAnsi="Arial" w:cs="Arial"/>
                <w:sz w:val="18"/>
                <w:szCs w:val="18"/>
                <w:lang w:val="en-GB" w:eastAsia="en-GB"/>
              </w:rPr>
              <w:t>1,131</w:t>
            </w:r>
          </w:p>
        </w:tc>
      </w:tr>
      <w:tr w:rsidR="005F1B83" w:rsidRPr="00D440C9" w:rsidTr="00B92C9F">
        <w:trPr>
          <w:trHeight w:val="152"/>
        </w:trPr>
        <w:tc>
          <w:tcPr>
            <w:tcW w:w="3261" w:type="dxa"/>
            <w:tcBorders>
              <w:top w:val="nil"/>
              <w:left w:val="single" w:sz="4" w:space="0" w:color="auto"/>
              <w:bottom w:val="single" w:sz="4" w:space="0" w:color="auto"/>
              <w:right w:val="nil"/>
            </w:tcBorders>
            <w:shd w:val="clear" w:color="000000" w:fill="FFFFFF"/>
            <w:vAlign w:val="bottom"/>
            <w:hideMark/>
          </w:tcPr>
          <w:p w:rsidR="005F1B83" w:rsidRPr="00D440C9" w:rsidRDefault="005F1B83" w:rsidP="005F1B83">
            <w:pPr>
              <w:rPr>
                <w:rFonts w:ascii="Arial" w:hAnsi="Arial" w:cs="Arial"/>
                <w:sz w:val="18"/>
                <w:szCs w:val="18"/>
                <w:lang w:val="en-GB" w:eastAsia="en-GB"/>
              </w:rPr>
            </w:pPr>
            <w:r w:rsidRPr="00D440C9">
              <w:rPr>
                <w:rFonts w:ascii="Arial" w:hAnsi="Arial" w:cs="Arial"/>
                <w:sz w:val="18"/>
                <w:szCs w:val="18"/>
                <w:lang w:val="en-GB" w:eastAsia="en-GB"/>
              </w:rPr>
              <w:t>Cash flow hedges</w:t>
            </w:r>
            <w:r>
              <w:rPr>
                <w:rFonts w:ascii="Arial" w:hAnsi="Arial" w:cs="Arial"/>
                <w:sz w:val="18"/>
                <w:szCs w:val="18"/>
                <w:lang w:val="en-GB" w:eastAsia="en-GB"/>
              </w:rPr>
              <w:t xml:space="preserve"> net of tax</w:t>
            </w:r>
          </w:p>
        </w:tc>
        <w:tc>
          <w:tcPr>
            <w:tcW w:w="765" w:type="dxa"/>
            <w:tcBorders>
              <w:top w:val="nil"/>
              <w:left w:val="nil"/>
              <w:bottom w:val="single" w:sz="4" w:space="0" w:color="auto"/>
              <w:right w:val="nil"/>
            </w:tcBorders>
            <w:shd w:val="clear" w:color="auto" w:fill="auto"/>
            <w:vAlign w:val="bottom"/>
            <w:hideMark/>
          </w:tcPr>
          <w:p w:rsidR="005F1B83" w:rsidRPr="00D440C9" w:rsidRDefault="005F1B83" w:rsidP="005F1B83">
            <w:pPr>
              <w:jc w:val="right"/>
              <w:rPr>
                <w:rFonts w:ascii="Arial" w:hAnsi="Arial" w:cs="Arial"/>
                <w:sz w:val="18"/>
                <w:szCs w:val="18"/>
                <w:lang w:val="en-GB" w:eastAsia="en-GB"/>
              </w:rPr>
            </w:pPr>
            <w:r w:rsidRPr="00D440C9">
              <w:rPr>
                <w:rFonts w:ascii="Arial" w:hAnsi="Arial" w:cs="Arial"/>
                <w:sz w:val="18"/>
                <w:szCs w:val="18"/>
                <w:lang w:val="en-GB" w:eastAsia="en-GB"/>
              </w:rPr>
              <w:t xml:space="preserve">-  </w:t>
            </w:r>
          </w:p>
        </w:tc>
        <w:tc>
          <w:tcPr>
            <w:tcW w:w="935" w:type="dxa"/>
            <w:tcBorders>
              <w:top w:val="nil"/>
              <w:left w:val="nil"/>
              <w:bottom w:val="single" w:sz="4" w:space="0" w:color="auto"/>
              <w:right w:val="nil"/>
            </w:tcBorders>
            <w:shd w:val="clear" w:color="auto" w:fill="auto"/>
            <w:vAlign w:val="bottom"/>
            <w:hideMark/>
          </w:tcPr>
          <w:p w:rsidR="005F1B83" w:rsidRPr="00D440C9" w:rsidRDefault="005F1B83" w:rsidP="005F1B83">
            <w:pPr>
              <w:jc w:val="right"/>
              <w:rPr>
                <w:rFonts w:ascii="Arial" w:hAnsi="Arial" w:cs="Arial"/>
                <w:sz w:val="18"/>
                <w:szCs w:val="18"/>
                <w:lang w:val="en-GB" w:eastAsia="en-GB"/>
              </w:rPr>
            </w:pPr>
            <w:r w:rsidRPr="00D440C9">
              <w:rPr>
                <w:rFonts w:ascii="Arial" w:hAnsi="Arial" w:cs="Arial"/>
                <w:sz w:val="18"/>
                <w:szCs w:val="18"/>
                <w:lang w:val="en-GB" w:eastAsia="en-GB"/>
              </w:rPr>
              <w:t xml:space="preserve">-  </w:t>
            </w:r>
          </w:p>
        </w:tc>
        <w:tc>
          <w:tcPr>
            <w:tcW w:w="803" w:type="dxa"/>
            <w:tcBorders>
              <w:top w:val="nil"/>
              <w:left w:val="nil"/>
              <w:bottom w:val="single" w:sz="4" w:space="0" w:color="auto"/>
              <w:right w:val="nil"/>
            </w:tcBorders>
            <w:shd w:val="clear" w:color="auto" w:fill="auto"/>
            <w:vAlign w:val="bottom"/>
            <w:hideMark/>
          </w:tcPr>
          <w:p w:rsidR="005F1B83" w:rsidRPr="00D440C9" w:rsidRDefault="005F1B83" w:rsidP="005F1B83">
            <w:pPr>
              <w:jc w:val="right"/>
              <w:rPr>
                <w:rFonts w:ascii="Arial" w:hAnsi="Arial" w:cs="Arial"/>
                <w:sz w:val="18"/>
                <w:szCs w:val="18"/>
                <w:lang w:val="en-GB" w:eastAsia="en-GB"/>
              </w:rPr>
            </w:pPr>
            <w:r w:rsidRPr="00D440C9">
              <w:rPr>
                <w:rFonts w:ascii="Arial" w:hAnsi="Arial" w:cs="Arial"/>
                <w:sz w:val="18"/>
                <w:szCs w:val="18"/>
                <w:lang w:val="en-GB" w:eastAsia="en-GB"/>
              </w:rPr>
              <w:t xml:space="preserve">-  </w:t>
            </w:r>
          </w:p>
        </w:tc>
        <w:tc>
          <w:tcPr>
            <w:tcW w:w="907" w:type="dxa"/>
            <w:tcBorders>
              <w:top w:val="nil"/>
              <w:left w:val="nil"/>
              <w:bottom w:val="single" w:sz="4" w:space="0" w:color="auto"/>
              <w:right w:val="nil"/>
            </w:tcBorders>
            <w:shd w:val="clear" w:color="auto" w:fill="auto"/>
            <w:vAlign w:val="bottom"/>
            <w:hideMark/>
          </w:tcPr>
          <w:p w:rsidR="005F1B83" w:rsidRPr="00D440C9" w:rsidRDefault="00A51AEE" w:rsidP="005F1B83">
            <w:pPr>
              <w:jc w:val="right"/>
              <w:rPr>
                <w:rFonts w:ascii="Arial" w:hAnsi="Arial" w:cs="Arial"/>
                <w:sz w:val="18"/>
                <w:szCs w:val="18"/>
                <w:lang w:val="en-GB" w:eastAsia="en-GB"/>
              </w:rPr>
            </w:pPr>
            <w:r>
              <w:rPr>
                <w:rFonts w:ascii="Arial" w:hAnsi="Arial" w:cs="Arial"/>
                <w:sz w:val="18"/>
                <w:szCs w:val="18"/>
                <w:lang w:val="en-GB" w:eastAsia="en-GB"/>
              </w:rPr>
              <w:t>(165</w:t>
            </w:r>
            <w:r w:rsidR="009701CB">
              <w:rPr>
                <w:rFonts w:ascii="Arial" w:hAnsi="Arial" w:cs="Arial"/>
                <w:sz w:val="18"/>
                <w:szCs w:val="18"/>
                <w:lang w:val="en-GB" w:eastAsia="en-GB"/>
              </w:rPr>
              <w:t>)</w:t>
            </w:r>
          </w:p>
        </w:tc>
        <w:tc>
          <w:tcPr>
            <w:tcW w:w="937" w:type="dxa"/>
            <w:tcBorders>
              <w:top w:val="nil"/>
              <w:left w:val="nil"/>
              <w:bottom w:val="single" w:sz="4" w:space="0" w:color="auto"/>
              <w:right w:val="nil"/>
            </w:tcBorders>
            <w:shd w:val="clear" w:color="auto" w:fill="auto"/>
            <w:vAlign w:val="bottom"/>
            <w:hideMark/>
          </w:tcPr>
          <w:p w:rsidR="005F1B83" w:rsidRPr="00D440C9" w:rsidRDefault="005F1B83" w:rsidP="005F1B83">
            <w:pPr>
              <w:jc w:val="right"/>
              <w:rPr>
                <w:rFonts w:ascii="Arial" w:hAnsi="Arial" w:cs="Arial"/>
                <w:sz w:val="18"/>
                <w:szCs w:val="18"/>
                <w:lang w:val="en-GB" w:eastAsia="en-GB"/>
              </w:rPr>
            </w:pPr>
            <w:r w:rsidRPr="00D440C9">
              <w:rPr>
                <w:rFonts w:ascii="Arial" w:hAnsi="Arial" w:cs="Arial"/>
                <w:sz w:val="18"/>
                <w:szCs w:val="18"/>
                <w:lang w:val="en-GB" w:eastAsia="en-GB"/>
              </w:rPr>
              <w:t xml:space="preserve">-  </w:t>
            </w:r>
          </w:p>
        </w:tc>
        <w:tc>
          <w:tcPr>
            <w:tcW w:w="787" w:type="dxa"/>
            <w:tcBorders>
              <w:top w:val="nil"/>
              <w:left w:val="nil"/>
              <w:bottom w:val="single" w:sz="4" w:space="0" w:color="auto"/>
              <w:right w:val="nil"/>
            </w:tcBorders>
            <w:shd w:val="clear" w:color="auto" w:fill="auto"/>
            <w:vAlign w:val="bottom"/>
            <w:hideMark/>
          </w:tcPr>
          <w:p w:rsidR="005F1B83" w:rsidRPr="00D440C9" w:rsidRDefault="00EA4E3C" w:rsidP="005F1B83">
            <w:pPr>
              <w:jc w:val="right"/>
              <w:rPr>
                <w:rFonts w:ascii="Arial" w:hAnsi="Arial" w:cs="Arial"/>
                <w:sz w:val="18"/>
                <w:szCs w:val="18"/>
                <w:lang w:val="en-GB" w:eastAsia="en-GB"/>
              </w:rPr>
            </w:pPr>
            <w:r>
              <w:rPr>
                <w:rFonts w:ascii="Arial" w:hAnsi="Arial" w:cs="Arial"/>
                <w:sz w:val="18"/>
                <w:szCs w:val="18"/>
                <w:lang w:val="en-GB" w:eastAsia="en-GB"/>
              </w:rPr>
              <w:t>(</w:t>
            </w:r>
            <w:r w:rsidR="00A51AEE">
              <w:rPr>
                <w:rFonts w:ascii="Arial" w:hAnsi="Arial" w:cs="Arial"/>
                <w:sz w:val="18"/>
                <w:szCs w:val="18"/>
                <w:lang w:val="en-GB" w:eastAsia="en-GB"/>
              </w:rPr>
              <w:t>165)</w:t>
            </w:r>
          </w:p>
        </w:tc>
        <w:tc>
          <w:tcPr>
            <w:tcW w:w="1037" w:type="dxa"/>
            <w:tcBorders>
              <w:top w:val="nil"/>
              <w:left w:val="nil"/>
              <w:bottom w:val="single" w:sz="4" w:space="0" w:color="auto"/>
              <w:right w:val="nil"/>
            </w:tcBorders>
            <w:shd w:val="clear" w:color="auto" w:fill="auto"/>
            <w:vAlign w:val="bottom"/>
            <w:hideMark/>
          </w:tcPr>
          <w:p w:rsidR="005F1B83" w:rsidRPr="00D440C9" w:rsidRDefault="005F1B83" w:rsidP="005F1B83">
            <w:pPr>
              <w:jc w:val="right"/>
              <w:rPr>
                <w:rFonts w:ascii="Arial" w:hAnsi="Arial" w:cs="Arial"/>
                <w:sz w:val="18"/>
                <w:szCs w:val="18"/>
                <w:lang w:val="en-GB" w:eastAsia="en-GB"/>
              </w:rPr>
            </w:pPr>
            <w:r w:rsidRPr="00D440C9">
              <w:rPr>
                <w:rFonts w:ascii="Arial" w:hAnsi="Arial" w:cs="Arial"/>
                <w:sz w:val="18"/>
                <w:szCs w:val="18"/>
                <w:lang w:val="en-GB" w:eastAsia="en-GB"/>
              </w:rPr>
              <w:t xml:space="preserve">-  </w:t>
            </w:r>
          </w:p>
        </w:tc>
        <w:tc>
          <w:tcPr>
            <w:tcW w:w="787" w:type="dxa"/>
            <w:tcBorders>
              <w:top w:val="nil"/>
              <w:left w:val="nil"/>
              <w:bottom w:val="single" w:sz="4" w:space="0" w:color="auto"/>
              <w:right w:val="single" w:sz="4" w:space="0" w:color="auto"/>
            </w:tcBorders>
            <w:shd w:val="clear" w:color="auto" w:fill="auto"/>
            <w:vAlign w:val="bottom"/>
            <w:hideMark/>
          </w:tcPr>
          <w:p w:rsidR="005F1B83" w:rsidRPr="00D440C9" w:rsidRDefault="00A51AEE" w:rsidP="009701CB">
            <w:pPr>
              <w:jc w:val="right"/>
              <w:rPr>
                <w:rFonts w:ascii="Arial" w:hAnsi="Arial" w:cs="Arial"/>
                <w:sz w:val="18"/>
                <w:szCs w:val="18"/>
                <w:lang w:val="en-GB" w:eastAsia="en-GB"/>
              </w:rPr>
            </w:pPr>
            <w:r>
              <w:rPr>
                <w:rFonts w:ascii="Arial" w:hAnsi="Arial" w:cs="Arial"/>
                <w:sz w:val="18"/>
                <w:szCs w:val="18"/>
                <w:lang w:val="en-GB" w:eastAsia="en-GB"/>
              </w:rPr>
              <w:t>(165</w:t>
            </w:r>
            <w:r w:rsidR="00EA4E3C">
              <w:rPr>
                <w:rFonts w:ascii="Arial" w:hAnsi="Arial" w:cs="Arial"/>
                <w:sz w:val="18"/>
                <w:szCs w:val="18"/>
                <w:lang w:val="en-GB" w:eastAsia="en-GB"/>
              </w:rPr>
              <w:t>)</w:t>
            </w:r>
          </w:p>
        </w:tc>
      </w:tr>
      <w:tr w:rsidR="005F1B83" w:rsidRPr="00D440C9" w:rsidTr="00B92C9F">
        <w:trPr>
          <w:trHeight w:val="85"/>
        </w:trPr>
        <w:tc>
          <w:tcPr>
            <w:tcW w:w="3261" w:type="dxa"/>
            <w:tcBorders>
              <w:top w:val="single" w:sz="4" w:space="0" w:color="auto"/>
              <w:left w:val="single" w:sz="4" w:space="0" w:color="auto"/>
              <w:bottom w:val="single" w:sz="4" w:space="0" w:color="auto"/>
              <w:right w:val="nil"/>
            </w:tcBorders>
            <w:shd w:val="clear" w:color="000000" w:fill="FFFFFF"/>
            <w:vAlign w:val="bottom"/>
            <w:hideMark/>
          </w:tcPr>
          <w:p w:rsidR="005F1B83" w:rsidRPr="00D440C9" w:rsidRDefault="005F1B83" w:rsidP="005F1B83">
            <w:pPr>
              <w:rPr>
                <w:rFonts w:ascii="Arial" w:hAnsi="Arial" w:cs="Arial"/>
                <w:sz w:val="18"/>
                <w:szCs w:val="18"/>
                <w:lang w:val="en-GB" w:eastAsia="en-GB"/>
              </w:rPr>
            </w:pPr>
            <w:r w:rsidRPr="00D440C9">
              <w:rPr>
                <w:rFonts w:ascii="Arial" w:hAnsi="Arial" w:cs="Arial"/>
                <w:sz w:val="18"/>
                <w:szCs w:val="18"/>
                <w:lang w:val="en-GB" w:eastAsia="en-GB"/>
              </w:rPr>
              <w:t>Total recognised income in the year</w:t>
            </w:r>
          </w:p>
        </w:tc>
        <w:tc>
          <w:tcPr>
            <w:tcW w:w="765" w:type="dxa"/>
            <w:tcBorders>
              <w:top w:val="single" w:sz="4" w:space="0" w:color="auto"/>
              <w:left w:val="nil"/>
              <w:bottom w:val="single" w:sz="4" w:space="0" w:color="auto"/>
              <w:right w:val="nil"/>
            </w:tcBorders>
            <w:shd w:val="clear" w:color="auto" w:fill="auto"/>
            <w:vAlign w:val="bottom"/>
            <w:hideMark/>
          </w:tcPr>
          <w:p w:rsidR="005F1B83" w:rsidRPr="00D440C9" w:rsidRDefault="005F1B83" w:rsidP="005F1B83">
            <w:pPr>
              <w:jc w:val="right"/>
              <w:rPr>
                <w:rFonts w:ascii="Arial" w:hAnsi="Arial" w:cs="Arial"/>
                <w:sz w:val="18"/>
                <w:szCs w:val="18"/>
                <w:lang w:val="en-GB" w:eastAsia="en-GB"/>
              </w:rPr>
            </w:pPr>
            <w:r w:rsidRPr="00D440C9">
              <w:rPr>
                <w:rFonts w:ascii="Arial" w:hAnsi="Arial" w:cs="Arial"/>
                <w:sz w:val="18"/>
                <w:szCs w:val="18"/>
                <w:lang w:val="en-GB" w:eastAsia="en-GB"/>
              </w:rPr>
              <w:t xml:space="preserve">-  </w:t>
            </w:r>
          </w:p>
        </w:tc>
        <w:tc>
          <w:tcPr>
            <w:tcW w:w="935" w:type="dxa"/>
            <w:tcBorders>
              <w:top w:val="single" w:sz="4" w:space="0" w:color="auto"/>
              <w:left w:val="nil"/>
              <w:bottom w:val="single" w:sz="4" w:space="0" w:color="auto"/>
              <w:right w:val="nil"/>
            </w:tcBorders>
            <w:shd w:val="clear" w:color="auto" w:fill="auto"/>
            <w:vAlign w:val="bottom"/>
            <w:hideMark/>
          </w:tcPr>
          <w:p w:rsidR="005F1B83" w:rsidRPr="00D440C9" w:rsidRDefault="005F1B83" w:rsidP="005F1B83">
            <w:pPr>
              <w:jc w:val="right"/>
              <w:rPr>
                <w:rFonts w:ascii="Arial" w:hAnsi="Arial" w:cs="Arial"/>
                <w:sz w:val="18"/>
                <w:szCs w:val="18"/>
                <w:lang w:val="en-GB" w:eastAsia="en-GB"/>
              </w:rPr>
            </w:pPr>
            <w:r w:rsidRPr="00D440C9">
              <w:rPr>
                <w:rFonts w:ascii="Arial" w:hAnsi="Arial" w:cs="Arial"/>
                <w:sz w:val="18"/>
                <w:szCs w:val="18"/>
                <w:lang w:val="en-GB" w:eastAsia="en-GB"/>
              </w:rPr>
              <w:t xml:space="preserve">-  </w:t>
            </w:r>
          </w:p>
        </w:tc>
        <w:tc>
          <w:tcPr>
            <w:tcW w:w="803" w:type="dxa"/>
            <w:tcBorders>
              <w:top w:val="single" w:sz="4" w:space="0" w:color="auto"/>
              <w:left w:val="nil"/>
              <w:bottom w:val="single" w:sz="4" w:space="0" w:color="auto"/>
              <w:right w:val="nil"/>
            </w:tcBorders>
            <w:shd w:val="clear" w:color="auto" w:fill="auto"/>
            <w:vAlign w:val="bottom"/>
            <w:hideMark/>
          </w:tcPr>
          <w:p w:rsidR="005F1B83" w:rsidRPr="00D440C9" w:rsidRDefault="005F1B83" w:rsidP="005F1B83">
            <w:pPr>
              <w:jc w:val="right"/>
              <w:rPr>
                <w:rFonts w:ascii="Arial" w:hAnsi="Arial" w:cs="Arial"/>
                <w:sz w:val="18"/>
                <w:szCs w:val="18"/>
                <w:lang w:val="en-GB" w:eastAsia="en-GB"/>
              </w:rPr>
            </w:pPr>
            <w:r w:rsidRPr="00D440C9">
              <w:rPr>
                <w:rFonts w:ascii="Arial" w:hAnsi="Arial" w:cs="Arial"/>
                <w:sz w:val="18"/>
                <w:szCs w:val="18"/>
                <w:lang w:val="en-GB" w:eastAsia="en-GB"/>
              </w:rPr>
              <w:t xml:space="preserve">-  </w:t>
            </w:r>
          </w:p>
        </w:tc>
        <w:tc>
          <w:tcPr>
            <w:tcW w:w="907" w:type="dxa"/>
            <w:tcBorders>
              <w:top w:val="single" w:sz="4" w:space="0" w:color="auto"/>
              <w:left w:val="nil"/>
              <w:bottom w:val="single" w:sz="4" w:space="0" w:color="auto"/>
              <w:right w:val="nil"/>
            </w:tcBorders>
            <w:shd w:val="clear" w:color="auto" w:fill="auto"/>
            <w:vAlign w:val="bottom"/>
            <w:hideMark/>
          </w:tcPr>
          <w:p w:rsidR="005F1B83" w:rsidRPr="00D440C9" w:rsidRDefault="00A51AEE" w:rsidP="00A51AEE">
            <w:pPr>
              <w:jc w:val="right"/>
              <w:rPr>
                <w:rFonts w:ascii="Arial" w:hAnsi="Arial" w:cs="Arial"/>
                <w:sz w:val="18"/>
                <w:szCs w:val="18"/>
                <w:lang w:val="en-GB" w:eastAsia="en-GB"/>
              </w:rPr>
            </w:pPr>
            <w:r>
              <w:rPr>
                <w:rFonts w:ascii="Arial" w:hAnsi="Arial" w:cs="Arial"/>
                <w:sz w:val="18"/>
                <w:szCs w:val="18"/>
                <w:lang w:val="en-GB" w:eastAsia="en-GB"/>
              </w:rPr>
              <w:t>966</w:t>
            </w:r>
          </w:p>
        </w:tc>
        <w:tc>
          <w:tcPr>
            <w:tcW w:w="937" w:type="dxa"/>
            <w:tcBorders>
              <w:top w:val="single" w:sz="4" w:space="0" w:color="auto"/>
              <w:left w:val="nil"/>
              <w:bottom w:val="single" w:sz="4" w:space="0" w:color="auto"/>
              <w:right w:val="nil"/>
            </w:tcBorders>
            <w:shd w:val="clear" w:color="auto" w:fill="auto"/>
            <w:vAlign w:val="bottom"/>
            <w:hideMark/>
          </w:tcPr>
          <w:p w:rsidR="005F1B83" w:rsidRPr="00D440C9" w:rsidRDefault="009701CB" w:rsidP="00B92C9F">
            <w:pPr>
              <w:jc w:val="right"/>
              <w:rPr>
                <w:rFonts w:ascii="Arial" w:hAnsi="Arial" w:cs="Arial"/>
                <w:sz w:val="18"/>
                <w:szCs w:val="18"/>
                <w:lang w:val="en-GB" w:eastAsia="en-GB"/>
              </w:rPr>
            </w:pPr>
            <w:r>
              <w:rPr>
                <w:rFonts w:ascii="Arial" w:hAnsi="Arial" w:cs="Arial"/>
                <w:sz w:val="18"/>
                <w:szCs w:val="18"/>
                <w:lang w:val="en-GB" w:eastAsia="en-GB"/>
              </w:rPr>
              <w:t>6</w:t>
            </w:r>
            <w:r w:rsidR="005F1B83" w:rsidRPr="00D440C9">
              <w:rPr>
                <w:rFonts w:ascii="Arial" w:hAnsi="Arial" w:cs="Arial"/>
                <w:sz w:val="18"/>
                <w:szCs w:val="18"/>
                <w:lang w:val="en-GB" w:eastAsia="en-GB"/>
              </w:rPr>
              <w:t>,</w:t>
            </w:r>
            <w:r w:rsidR="00A51AEE">
              <w:rPr>
                <w:rFonts w:ascii="Arial" w:hAnsi="Arial" w:cs="Arial"/>
                <w:sz w:val="18"/>
                <w:szCs w:val="18"/>
                <w:lang w:val="en-GB" w:eastAsia="en-GB"/>
              </w:rPr>
              <w:t>824</w:t>
            </w:r>
          </w:p>
        </w:tc>
        <w:tc>
          <w:tcPr>
            <w:tcW w:w="787" w:type="dxa"/>
            <w:tcBorders>
              <w:top w:val="single" w:sz="4" w:space="0" w:color="auto"/>
              <w:left w:val="nil"/>
              <w:bottom w:val="single" w:sz="4" w:space="0" w:color="auto"/>
              <w:right w:val="nil"/>
            </w:tcBorders>
            <w:shd w:val="clear" w:color="auto" w:fill="auto"/>
            <w:vAlign w:val="bottom"/>
            <w:hideMark/>
          </w:tcPr>
          <w:p w:rsidR="005F1B83" w:rsidRPr="00D440C9" w:rsidRDefault="00EA4E3C" w:rsidP="009C31BF">
            <w:pPr>
              <w:jc w:val="right"/>
              <w:rPr>
                <w:rFonts w:ascii="Arial" w:hAnsi="Arial" w:cs="Arial"/>
                <w:sz w:val="18"/>
                <w:szCs w:val="18"/>
                <w:lang w:val="en-GB" w:eastAsia="en-GB"/>
              </w:rPr>
            </w:pPr>
            <w:r>
              <w:rPr>
                <w:rFonts w:ascii="Arial" w:hAnsi="Arial" w:cs="Arial"/>
                <w:sz w:val="18"/>
                <w:szCs w:val="18"/>
                <w:lang w:val="en-GB" w:eastAsia="en-GB"/>
              </w:rPr>
              <w:t>7</w:t>
            </w:r>
            <w:r w:rsidR="005F1B83" w:rsidRPr="00D440C9">
              <w:rPr>
                <w:rFonts w:ascii="Arial" w:hAnsi="Arial" w:cs="Arial"/>
                <w:sz w:val="18"/>
                <w:szCs w:val="18"/>
                <w:lang w:val="en-GB" w:eastAsia="en-GB"/>
              </w:rPr>
              <w:t>,</w:t>
            </w:r>
            <w:r w:rsidR="00A51AEE">
              <w:rPr>
                <w:rFonts w:ascii="Arial" w:hAnsi="Arial" w:cs="Arial"/>
                <w:sz w:val="18"/>
                <w:szCs w:val="18"/>
                <w:lang w:val="en-GB" w:eastAsia="en-GB"/>
              </w:rPr>
              <w:t>790</w:t>
            </w:r>
          </w:p>
        </w:tc>
        <w:tc>
          <w:tcPr>
            <w:tcW w:w="1037" w:type="dxa"/>
            <w:tcBorders>
              <w:top w:val="single" w:sz="4" w:space="0" w:color="auto"/>
              <w:left w:val="nil"/>
              <w:bottom w:val="single" w:sz="4" w:space="0" w:color="auto"/>
              <w:right w:val="nil"/>
            </w:tcBorders>
            <w:shd w:val="clear" w:color="000000" w:fill="auto"/>
            <w:vAlign w:val="bottom"/>
            <w:hideMark/>
          </w:tcPr>
          <w:p w:rsidR="005F1B83" w:rsidRPr="00D440C9" w:rsidRDefault="00A51AEE" w:rsidP="005F1B83">
            <w:pPr>
              <w:jc w:val="right"/>
              <w:rPr>
                <w:rFonts w:ascii="Arial" w:hAnsi="Arial" w:cs="Arial"/>
                <w:sz w:val="18"/>
                <w:szCs w:val="18"/>
                <w:lang w:val="en-GB" w:eastAsia="en-GB"/>
              </w:rPr>
            </w:pPr>
            <w:r>
              <w:rPr>
                <w:rFonts w:ascii="Arial" w:hAnsi="Arial" w:cs="Arial"/>
                <w:sz w:val="18"/>
                <w:szCs w:val="18"/>
                <w:lang w:val="en-GB" w:eastAsia="en-GB"/>
              </w:rPr>
              <w:t>25</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5F1B83" w:rsidRPr="00D440C9" w:rsidRDefault="00EA4E3C" w:rsidP="009C31BF">
            <w:pPr>
              <w:jc w:val="right"/>
              <w:rPr>
                <w:rFonts w:ascii="Arial" w:hAnsi="Arial" w:cs="Arial"/>
                <w:sz w:val="18"/>
                <w:szCs w:val="18"/>
                <w:lang w:val="en-GB" w:eastAsia="en-GB"/>
              </w:rPr>
            </w:pPr>
            <w:r>
              <w:rPr>
                <w:rFonts w:ascii="Arial" w:hAnsi="Arial" w:cs="Arial"/>
                <w:sz w:val="18"/>
                <w:szCs w:val="18"/>
                <w:lang w:val="en-GB" w:eastAsia="en-GB"/>
              </w:rPr>
              <w:t>7</w:t>
            </w:r>
            <w:r w:rsidR="005F1B83" w:rsidRPr="00D440C9">
              <w:rPr>
                <w:rFonts w:ascii="Arial" w:hAnsi="Arial" w:cs="Arial"/>
                <w:sz w:val="18"/>
                <w:szCs w:val="18"/>
                <w:lang w:val="en-GB" w:eastAsia="en-GB"/>
              </w:rPr>
              <w:t>,</w:t>
            </w:r>
            <w:r w:rsidR="00A51AEE">
              <w:rPr>
                <w:rFonts w:ascii="Arial" w:hAnsi="Arial" w:cs="Arial"/>
                <w:sz w:val="18"/>
                <w:szCs w:val="18"/>
                <w:lang w:val="en-GB" w:eastAsia="en-GB"/>
              </w:rPr>
              <w:t>815</w:t>
            </w:r>
          </w:p>
        </w:tc>
      </w:tr>
      <w:tr w:rsidR="005F1B83" w:rsidRPr="00D440C9" w:rsidTr="005F1B83">
        <w:trPr>
          <w:trHeight w:val="86"/>
        </w:trPr>
        <w:tc>
          <w:tcPr>
            <w:tcW w:w="3261" w:type="dxa"/>
            <w:tcBorders>
              <w:top w:val="nil"/>
              <w:left w:val="nil"/>
              <w:bottom w:val="nil"/>
              <w:right w:val="nil"/>
            </w:tcBorders>
            <w:shd w:val="clear" w:color="000000" w:fill="FFFFFF"/>
            <w:vAlign w:val="bottom"/>
            <w:hideMark/>
          </w:tcPr>
          <w:p w:rsidR="005F1B83" w:rsidRPr="00D440C9" w:rsidRDefault="005F1B83" w:rsidP="00991C20">
            <w:pPr>
              <w:rPr>
                <w:rFonts w:ascii="Arial" w:hAnsi="Arial" w:cs="Arial"/>
                <w:sz w:val="18"/>
                <w:szCs w:val="18"/>
                <w:lang w:val="en-GB"/>
              </w:rPr>
            </w:pPr>
            <w:r w:rsidRPr="00D440C9">
              <w:rPr>
                <w:rFonts w:ascii="Arial" w:hAnsi="Arial" w:cs="Arial"/>
                <w:sz w:val="18"/>
                <w:szCs w:val="18"/>
                <w:lang w:val="en-GB"/>
              </w:rPr>
              <w:t>Dividends paid</w:t>
            </w:r>
          </w:p>
        </w:tc>
        <w:tc>
          <w:tcPr>
            <w:tcW w:w="765"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935" w:type="dxa"/>
            <w:tcBorders>
              <w:top w:val="nil"/>
              <w:left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803"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907"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937" w:type="dxa"/>
            <w:tcBorders>
              <w:top w:val="nil"/>
              <w:left w:val="nil"/>
              <w:bottom w:val="nil"/>
              <w:right w:val="nil"/>
            </w:tcBorders>
            <w:shd w:val="clear" w:color="auto" w:fill="auto"/>
            <w:vAlign w:val="bottom"/>
            <w:hideMark/>
          </w:tcPr>
          <w:p w:rsidR="005F1B83" w:rsidRPr="00D440C9" w:rsidRDefault="005F1B83" w:rsidP="009701CB">
            <w:pPr>
              <w:jc w:val="right"/>
              <w:rPr>
                <w:rFonts w:ascii="Arial" w:hAnsi="Arial" w:cs="Arial"/>
                <w:sz w:val="18"/>
                <w:szCs w:val="18"/>
                <w:lang w:val="en-GB"/>
              </w:rPr>
            </w:pPr>
            <w:r w:rsidRPr="00D440C9">
              <w:rPr>
                <w:rFonts w:ascii="Arial" w:hAnsi="Arial" w:cs="Arial"/>
                <w:sz w:val="18"/>
                <w:szCs w:val="18"/>
                <w:lang w:val="en-GB"/>
              </w:rPr>
              <w:t>(5,</w:t>
            </w:r>
            <w:r w:rsidR="00A51AEE">
              <w:rPr>
                <w:rFonts w:ascii="Arial" w:hAnsi="Arial" w:cs="Arial"/>
                <w:sz w:val="18"/>
                <w:szCs w:val="18"/>
                <w:lang w:val="en-GB"/>
              </w:rPr>
              <w:t>412</w:t>
            </w:r>
            <w:r w:rsidRPr="00D440C9">
              <w:rPr>
                <w:rFonts w:ascii="Arial" w:hAnsi="Arial" w:cs="Arial"/>
                <w:sz w:val="18"/>
                <w:szCs w:val="18"/>
                <w:lang w:val="en-GB"/>
              </w:rPr>
              <w:t>)</w:t>
            </w:r>
          </w:p>
        </w:tc>
        <w:tc>
          <w:tcPr>
            <w:tcW w:w="787" w:type="dxa"/>
            <w:tcBorders>
              <w:top w:val="nil"/>
              <w:left w:val="nil"/>
              <w:bottom w:val="nil"/>
              <w:right w:val="nil"/>
            </w:tcBorders>
            <w:shd w:val="clear" w:color="auto" w:fill="auto"/>
            <w:vAlign w:val="bottom"/>
            <w:hideMark/>
          </w:tcPr>
          <w:p w:rsidR="005F1B83" w:rsidRPr="00D440C9" w:rsidRDefault="005F1B83" w:rsidP="009701CB">
            <w:pPr>
              <w:jc w:val="right"/>
              <w:rPr>
                <w:rFonts w:ascii="Arial" w:hAnsi="Arial" w:cs="Arial"/>
                <w:sz w:val="18"/>
                <w:szCs w:val="18"/>
                <w:lang w:val="en-GB"/>
              </w:rPr>
            </w:pPr>
            <w:r w:rsidRPr="00D440C9">
              <w:rPr>
                <w:rFonts w:ascii="Arial" w:hAnsi="Arial" w:cs="Arial"/>
                <w:sz w:val="18"/>
                <w:szCs w:val="18"/>
                <w:lang w:val="en-GB"/>
              </w:rPr>
              <w:t>(5,</w:t>
            </w:r>
            <w:r w:rsidR="00A51AEE">
              <w:rPr>
                <w:rFonts w:ascii="Arial" w:hAnsi="Arial" w:cs="Arial"/>
                <w:sz w:val="18"/>
                <w:szCs w:val="18"/>
                <w:lang w:val="en-GB"/>
              </w:rPr>
              <w:t>412</w:t>
            </w:r>
            <w:r w:rsidRPr="00D440C9">
              <w:rPr>
                <w:rFonts w:ascii="Arial" w:hAnsi="Arial" w:cs="Arial"/>
                <w:sz w:val="18"/>
                <w:szCs w:val="18"/>
                <w:lang w:val="en-GB"/>
              </w:rPr>
              <w:t>)</w:t>
            </w:r>
          </w:p>
        </w:tc>
        <w:tc>
          <w:tcPr>
            <w:tcW w:w="1037"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787" w:type="dxa"/>
            <w:tcBorders>
              <w:top w:val="nil"/>
              <w:left w:val="nil"/>
              <w:bottom w:val="nil"/>
              <w:right w:val="nil"/>
            </w:tcBorders>
            <w:shd w:val="clear" w:color="auto" w:fill="auto"/>
            <w:vAlign w:val="bottom"/>
            <w:hideMark/>
          </w:tcPr>
          <w:p w:rsidR="005F1B83" w:rsidRPr="00D440C9" w:rsidRDefault="00A51AEE" w:rsidP="009701CB">
            <w:pPr>
              <w:jc w:val="right"/>
              <w:rPr>
                <w:rFonts w:ascii="Arial" w:hAnsi="Arial" w:cs="Arial"/>
                <w:sz w:val="18"/>
                <w:szCs w:val="18"/>
                <w:lang w:val="en-GB"/>
              </w:rPr>
            </w:pPr>
            <w:r>
              <w:rPr>
                <w:rFonts w:ascii="Arial" w:hAnsi="Arial" w:cs="Arial"/>
                <w:sz w:val="18"/>
                <w:szCs w:val="18"/>
                <w:lang w:val="en-GB"/>
              </w:rPr>
              <w:t>(5,412</w:t>
            </w:r>
            <w:r w:rsidR="005F1B83" w:rsidRPr="00D440C9">
              <w:rPr>
                <w:rFonts w:ascii="Arial" w:hAnsi="Arial" w:cs="Arial"/>
                <w:sz w:val="18"/>
                <w:szCs w:val="18"/>
                <w:lang w:val="en-GB"/>
              </w:rPr>
              <w:t>)</w:t>
            </w:r>
          </w:p>
        </w:tc>
      </w:tr>
      <w:tr w:rsidR="005F1B83" w:rsidRPr="00D440C9" w:rsidTr="005F1B83">
        <w:trPr>
          <w:trHeight w:val="128"/>
        </w:trPr>
        <w:tc>
          <w:tcPr>
            <w:tcW w:w="3261" w:type="dxa"/>
            <w:tcBorders>
              <w:top w:val="nil"/>
              <w:left w:val="nil"/>
              <w:bottom w:val="nil"/>
              <w:right w:val="nil"/>
            </w:tcBorders>
            <w:shd w:val="clear" w:color="000000" w:fill="FFFFFF"/>
            <w:vAlign w:val="bottom"/>
            <w:hideMark/>
          </w:tcPr>
          <w:p w:rsidR="005F1B83" w:rsidRPr="00D440C9" w:rsidRDefault="005F1B83" w:rsidP="00991C20">
            <w:pPr>
              <w:rPr>
                <w:rFonts w:ascii="Arial" w:hAnsi="Arial" w:cs="Arial"/>
                <w:sz w:val="18"/>
                <w:szCs w:val="18"/>
                <w:lang w:val="en-GB"/>
              </w:rPr>
            </w:pPr>
            <w:r w:rsidRPr="00D440C9">
              <w:rPr>
                <w:rFonts w:ascii="Arial" w:hAnsi="Arial" w:cs="Arial"/>
                <w:sz w:val="18"/>
                <w:szCs w:val="18"/>
                <w:lang w:val="en-GB"/>
              </w:rPr>
              <w:t>Issue of shares</w:t>
            </w:r>
          </w:p>
        </w:tc>
        <w:tc>
          <w:tcPr>
            <w:tcW w:w="765" w:type="dxa"/>
            <w:tcBorders>
              <w:top w:val="nil"/>
              <w:left w:val="nil"/>
              <w:bottom w:val="nil"/>
              <w:right w:val="nil"/>
            </w:tcBorders>
            <w:shd w:val="clear" w:color="auto" w:fill="auto"/>
            <w:vAlign w:val="bottom"/>
            <w:hideMark/>
          </w:tcPr>
          <w:p w:rsidR="005F1B83" w:rsidRPr="00D440C9" w:rsidRDefault="005F1B83" w:rsidP="00A51AEE">
            <w:pPr>
              <w:jc w:val="right"/>
              <w:rPr>
                <w:rFonts w:ascii="Arial" w:hAnsi="Arial" w:cs="Arial"/>
                <w:sz w:val="18"/>
                <w:szCs w:val="18"/>
                <w:lang w:val="en-GB"/>
              </w:rPr>
            </w:pPr>
            <w:r>
              <w:rPr>
                <w:rFonts w:ascii="Arial" w:hAnsi="Arial" w:cs="Arial"/>
                <w:sz w:val="18"/>
                <w:szCs w:val="18"/>
                <w:lang w:val="en-GB"/>
              </w:rPr>
              <w:t>5</w:t>
            </w:r>
          </w:p>
        </w:tc>
        <w:tc>
          <w:tcPr>
            <w:tcW w:w="935" w:type="dxa"/>
            <w:tcBorders>
              <w:top w:val="nil"/>
              <w:left w:val="nil"/>
              <w:bottom w:val="nil"/>
              <w:right w:val="nil"/>
            </w:tcBorders>
            <w:shd w:val="clear" w:color="000000" w:fill="auto"/>
            <w:vAlign w:val="bottom"/>
            <w:hideMark/>
          </w:tcPr>
          <w:p w:rsidR="005F1B83" w:rsidRPr="00D440C9" w:rsidRDefault="00A51AEE" w:rsidP="009701CB">
            <w:pPr>
              <w:jc w:val="right"/>
              <w:rPr>
                <w:rFonts w:ascii="Arial" w:hAnsi="Arial" w:cs="Arial"/>
                <w:sz w:val="18"/>
                <w:szCs w:val="18"/>
                <w:lang w:val="en-GB"/>
              </w:rPr>
            </w:pPr>
            <w:r>
              <w:rPr>
                <w:rFonts w:ascii="Arial" w:hAnsi="Arial" w:cs="Arial"/>
                <w:sz w:val="18"/>
                <w:szCs w:val="18"/>
                <w:lang w:val="en-GB"/>
              </w:rPr>
              <w:t>132</w:t>
            </w:r>
          </w:p>
        </w:tc>
        <w:tc>
          <w:tcPr>
            <w:tcW w:w="803"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907"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937"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787" w:type="dxa"/>
            <w:tcBorders>
              <w:top w:val="nil"/>
              <w:left w:val="nil"/>
              <w:bottom w:val="nil"/>
              <w:right w:val="nil"/>
            </w:tcBorders>
            <w:shd w:val="clear" w:color="auto" w:fill="auto"/>
            <w:vAlign w:val="bottom"/>
            <w:hideMark/>
          </w:tcPr>
          <w:p w:rsidR="005F1B83" w:rsidRPr="00D440C9" w:rsidRDefault="00A51AEE" w:rsidP="009701CB">
            <w:pPr>
              <w:jc w:val="right"/>
              <w:rPr>
                <w:rFonts w:ascii="Arial" w:hAnsi="Arial" w:cs="Arial"/>
                <w:sz w:val="18"/>
                <w:szCs w:val="18"/>
                <w:lang w:val="en-GB"/>
              </w:rPr>
            </w:pPr>
            <w:r>
              <w:rPr>
                <w:rFonts w:ascii="Arial" w:hAnsi="Arial" w:cs="Arial"/>
                <w:sz w:val="18"/>
                <w:szCs w:val="18"/>
                <w:lang w:val="en-GB"/>
              </w:rPr>
              <w:t>137</w:t>
            </w:r>
          </w:p>
        </w:tc>
        <w:tc>
          <w:tcPr>
            <w:tcW w:w="1037"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787" w:type="dxa"/>
            <w:tcBorders>
              <w:top w:val="nil"/>
              <w:left w:val="nil"/>
              <w:bottom w:val="nil"/>
              <w:right w:val="nil"/>
            </w:tcBorders>
            <w:shd w:val="clear" w:color="auto" w:fill="auto"/>
            <w:vAlign w:val="bottom"/>
            <w:hideMark/>
          </w:tcPr>
          <w:p w:rsidR="005F1B83" w:rsidRPr="00D440C9" w:rsidRDefault="00A51AEE" w:rsidP="00991C20">
            <w:pPr>
              <w:jc w:val="right"/>
              <w:rPr>
                <w:rFonts w:ascii="Arial" w:hAnsi="Arial" w:cs="Arial"/>
                <w:sz w:val="18"/>
                <w:szCs w:val="18"/>
                <w:lang w:val="en-GB"/>
              </w:rPr>
            </w:pPr>
            <w:r>
              <w:rPr>
                <w:rFonts w:ascii="Arial" w:hAnsi="Arial" w:cs="Arial"/>
                <w:sz w:val="18"/>
                <w:szCs w:val="18"/>
                <w:lang w:val="en-GB"/>
              </w:rPr>
              <w:t>137</w:t>
            </w:r>
          </w:p>
        </w:tc>
      </w:tr>
      <w:tr w:rsidR="005F1B83" w:rsidRPr="00D440C9" w:rsidTr="005F1B83">
        <w:trPr>
          <w:trHeight w:val="89"/>
        </w:trPr>
        <w:tc>
          <w:tcPr>
            <w:tcW w:w="3261" w:type="dxa"/>
            <w:tcBorders>
              <w:top w:val="nil"/>
              <w:left w:val="nil"/>
              <w:bottom w:val="nil"/>
              <w:right w:val="nil"/>
            </w:tcBorders>
            <w:shd w:val="clear" w:color="000000" w:fill="FFFFFF"/>
            <w:vAlign w:val="bottom"/>
            <w:hideMark/>
          </w:tcPr>
          <w:p w:rsidR="005F1B83" w:rsidRPr="00D440C9" w:rsidRDefault="005F1B83" w:rsidP="001856BF">
            <w:pPr>
              <w:rPr>
                <w:rFonts w:ascii="Arial" w:hAnsi="Arial" w:cs="Arial"/>
                <w:sz w:val="18"/>
                <w:szCs w:val="18"/>
                <w:lang w:val="en-GB"/>
              </w:rPr>
            </w:pPr>
            <w:r w:rsidRPr="00D440C9">
              <w:rPr>
                <w:rFonts w:ascii="Arial" w:hAnsi="Arial" w:cs="Arial"/>
                <w:sz w:val="18"/>
                <w:szCs w:val="18"/>
                <w:lang w:val="en-GB"/>
              </w:rPr>
              <w:t xml:space="preserve">Purchase of </w:t>
            </w:r>
            <w:r w:rsidR="001856BF">
              <w:rPr>
                <w:rFonts w:ascii="Arial" w:hAnsi="Arial" w:cs="Arial"/>
                <w:sz w:val="18"/>
                <w:szCs w:val="18"/>
                <w:lang w:val="en-GB"/>
              </w:rPr>
              <w:t xml:space="preserve">own </w:t>
            </w:r>
            <w:r w:rsidRPr="00D440C9">
              <w:rPr>
                <w:rFonts w:ascii="Arial" w:hAnsi="Arial" w:cs="Arial"/>
                <w:sz w:val="18"/>
                <w:szCs w:val="18"/>
                <w:lang w:val="en-GB"/>
              </w:rPr>
              <w:t>shares</w:t>
            </w:r>
          </w:p>
        </w:tc>
        <w:tc>
          <w:tcPr>
            <w:tcW w:w="765"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935"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803" w:type="dxa"/>
            <w:tcBorders>
              <w:top w:val="nil"/>
              <w:left w:val="nil"/>
              <w:bottom w:val="nil"/>
              <w:right w:val="nil"/>
            </w:tcBorders>
            <w:shd w:val="clear" w:color="auto" w:fill="auto"/>
            <w:vAlign w:val="bottom"/>
            <w:hideMark/>
          </w:tcPr>
          <w:p w:rsidR="005F1B83" w:rsidRPr="00D440C9" w:rsidRDefault="005F1B83" w:rsidP="00A51AEE">
            <w:pPr>
              <w:jc w:val="right"/>
              <w:rPr>
                <w:rFonts w:ascii="Arial" w:hAnsi="Arial" w:cs="Arial"/>
                <w:sz w:val="18"/>
                <w:szCs w:val="18"/>
                <w:lang w:val="en-GB"/>
              </w:rPr>
            </w:pPr>
            <w:r w:rsidRPr="00D440C9">
              <w:rPr>
                <w:rFonts w:ascii="Arial" w:hAnsi="Arial" w:cs="Arial"/>
                <w:sz w:val="18"/>
                <w:szCs w:val="18"/>
                <w:lang w:val="en-GB"/>
              </w:rPr>
              <w:t>(</w:t>
            </w:r>
            <w:r>
              <w:rPr>
                <w:rFonts w:ascii="Arial" w:hAnsi="Arial" w:cs="Arial"/>
                <w:sz w:val="18"/>
                <w:szCs w:val="18"/>
                <w:lang w:val="en-GB"/>
              </w:rPr>
              <w:t>1</w:t>
            </w:r>
            <w:r w:rsidR="00A51AEE">
              <w:rPr>
                <w:rFonts w:ascii="Arial" w:hAnsi="Arial" w:cs="Arial"/>
                <w:sz w:val="18"/>
                <w:szCs w:val="18"/>
                <w:lang w:val="en-GB"/>
              </w:rPr>
              <w:t>48</w:t>
            </w:r>
            <w:r w:rsidRPr="00D440C9">
              <w:rPr>
                <w:rFonts w:ascii="Arial" w:hAnsi="Arial" w:cs="Arial"/>
                <w:sz w:val="18"/>
                <w:szCs w:val="18"/>
                <w:lang w:val="en-GB"/>
              </w:rPr>
              <w:t>)</w:t>
            </w:r>
          </w:p>
        </w:tc>
        <w:tc>
          <w:tcPr>
            <w:tcW w:w="907"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937"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787" w:type="dxa"/>
            <w:tcBorders>
              <w:top w:val="nil"/>
              <w:left w:val="nil"/>
              <w:bottom w:val="nil"/>
              <w:right w:val="nil"/>
            </w:tcBorders>
            <w:shd w:val="clear" w:color="auto" w:fill="auto"/>
            <w:vAlign w:val="bottom"/>
            <w:hideMark/>
          </w:tcPr>
          <w:p w:rsidR="005F1B83" w:rsidRPr="00D440C9" w:rsidRDefault="005F1B83" w:rsidP="005F1B83">
            <w:pPr>
              <w:jc w:val="right"/>
              <w:rPr>
                <w:rFonts w:ascii="Arial" w:hAnsi="Arial" w:cs="Arial"/>
                <w:sz w:val="18"/>
                <w:szCs w:val="18"/>
                <w:lang w:val="en-GB"/>
              </w:rPr>
            </w:pPr>
            <w:r w:rsidRPr="00D440C9">
              <w:rPr>
                <w:rFonts w:ascii="Arial" w:hAnsi="Arial" w:cs="Arial"/>
                <w:sz w:val="18"/>
                <w:szCs w:val="18"/>
                <w:lang w:val="en-GB"/>
              </w:rPr>
              <w:t>(1</w:t>
            </w:r>
            <w:r w:rsidR="00A51AEE">
              <w:rPr>
                <w:rFonts w:ascii="Arial" w:hAnsi="Arial" w:cs="Arial"/>
                <w:sz w:val="18"/>
                <w:szCs w:val="18"/>
                <w:lang w:val="en-GB"/>
              </w:rPr>
              <w:t>48</w:t>
            </w:r>
            <w:r w:rsidRPr="00D440C9">
              <w:rPr>
                <w:rFonts w:ascii="Arial" w:hAnsi="Arial" w:cs="Arial"/>
                <w:sz w:val="18"/>
                <w:szCs w:val="18"/>
                <w:lang w:val="en-GB"/>
              </w:rPr>
              <w:t>)</w:t>
            </w:r>
          </w:p>
        </w:tc>
        <w:tc>
          <w:tcPr>
            <w:tcW w:w="1037"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787" w:type="dxa"/>
            <w:tcBorders>
              <w:top w:val="nil"/>
              <w:left w:val="nil"/>
              <w:bottom w:val="nil"/>
              <w:right w:val="nil"/>
            </w:tcBorders>
            <w:shd w:val="clear" w:color="auto" w:fill="auto"/>
            <w:vAlign w:val="bottom"/>
            <w:hideMark/>
          </w:tcPr>
          <w:p w:rsidR="005F1B83" w:rsidRPr="00D440C9" w:rsidRDefault="00A51AEE" w:rsidP="005F1B83">
            <w:pPr>
              <w:jc w:val="right"/>
              <w:rPr>
                <w:rFonts w:ascii="Arial" w:hAnsi="Arial" w:cs="Arial"/>
                <w:sz w:val="18"/>
                <w:szCs w:val="18"/>
                <w:lang w:val="en-GB"/>
              </w:rPr>
            </w:pPr>
            <w:r>
              <w:rPr>
                <w:rFonts w:ascii="Arial" w:hAnsi="Arial" w:cs="Arial"/>
                <w:sz w:val="18"/>
                <w:szCs w:val="18"/>
                <w:lang w:val="en-GB"/>
              </w:rPr>
              <w:t>(148</w:t>
            </w:r>
            <w:r w:rsidR="005F1B83">
              <w:rPr>
                <w:rFonts w:ascii="Arial" w:hAnsi="Arial" w:cs="Arial"/>
                <w:sz w:val="18"/>
                <w:szCs w:val="18"/>
                <w:lang w:val="en-GB"/>
              </w:rPr>
              <w:t>)</w:t>
            </w:r>
          </w:p>
        </w:tc>
      </w:tr>
      <w:tr w:rsidR="005F1B83" w:rsidRPr="00D440C9" w:rsidTr="005F1B83">
        <w:trPr>
          <w:trHeight w:val="176"/>
        </w:trPr>
        <w:tc>
          <w:tcPr>
            <w:tcW w:w="3261" w:type="dxa"/>
            <w:tcBorders>
              <w:top w:val="nil"/>
              <w:left w:val="nil"/>
              <w:bottom w:val="nil"/>
              <w:right w:val="nil"/>
            </w:tcBorders>
            <w:shd w:val="clear" w:color="000000" w:fill="FFFFFF"/>
            <w:vAlign w:val="bottom"/>
            <w:hideMark/>
          </w:tcPr>
          <w:p w:rsidR="005F1B83" w:rsidRPr="00D440C9" w:rsidRDefault="005F1B83" w:rsidP="00991C20">
            <w:pPr>
              <w:rPr>
                <w:rFonts w:ascii="Arial" w:hAnsi="Arial" w:cs="Arial"/>
                <w:sz w:val="18"/>
                <w:szCs w:val="18"/>
                <w:lang w:val="en-GB"/>
              </w:rPr>
            </w:pPr>
            <w:r w:rsidRPr="00D440C9">
              <w:rPr>
                <w:rFonts w:ascii="Arial" w:hAnsi="Arial" w:cs="Arial"/>
                <w:sz w:val="18"/>
                <w:szCs w:val="18"/>
                <w:lang w:val="en-GB"/>
              </w:rPr>
              <w:t>ESOP shares allocated</w:t>
            </w:r>
          </w:p>
        </w:tc>
        <w:tc>
          <w:tcPr>
            <w:tcW w:w="765"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935"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803" w:type="dxa"/>
            <w:tcBorders>
              <w:top w:val="nil"/>
              <w:left w:val="nil"/>
              <w:bottom w:val="nil"/>
              <w:right w:val="nil"/>
            </w:tcBorders>
            <w:shd w:val="clear" w:color="auto" w:fill="auto"/>
            <w:vAlign w:val="bottom"/>
            <w:hideMark/>
          </w:tcPr>
          <w:p w:rsidR="005F1B83" w:rsidRPr="00D440C9" w:rsidRDefault="00A51AEE" w:rsidP="005F1B83">
            <w:pPr>
              <w:jc w:val="right"/>
              <w:rPr>
                <w:rFonts w:ascii="Arial" w:hAnsi="Arial" w:cs="Arial"/>
                <w:sz w:val="18"/>
                <w:szCs w:val="18"/>
                <w:lang w:val="en-GB"/>
              </w:rPr>
            </w:pPr>
            <w:r>
              <w:rPr>
                <w:rFonts w:ascii="Arial" w:hAnsi="Arial" w:cs="Arial"/>
                <w:sz w:val="18"/>
                <w:szCs w:val="18"/>
                <w:lang w:val="en-GB"/>
              </w:rPr>
              <w:t>534</w:t>
            </w:r>
          </w:p>
        </w:tc>
        <w:tc>
          <w:tcPr>
            <w:tcW w:w="907"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937" w:type="dxa"/>
            <w:tcBorders>
              <w:top w:val="nil"/>
              <w:left w:val="nil"/>
              <w:bottom w:val="nil"/>
              <w:right w:val="nil"/>
            </w:tcBorders>
            <w:shd w:val="clear" w:color="auto" w:fill="auto"/>
            <w:vAlign w:val="bottom"/>
            <w:hideMark/>
          </w:tcPr>
          <w:p w:rsidR="005F1B83" w:rsidRPr="00D440C9" w:rsidRDefault="00A51AEE" w:rsidP="005F1B83">
            <w:pPr>
              <w:jc w:val="right"/>
              <w:rPr>
                <w:rFonts w:ascii="Arial" w:hAnsi="Arial" w:cs="Arial"/>
                <w:sz w:val="18"/>
                <w:szCs w:val="18"/>
                <w:lang w:val="en-GB"/>
              </w:rPr>
            </w:pPr>
            <w:r>
              <w:rPr>
                <w:rFonts w:ascii="Arial" w:hAnsi="Arial" w:cs="Arial"/>
                <w:sz w:val="18"/>
                <w:szCs w:val="18"/>
                <w:lang w:val="en-GB"/>
              </w:rPr>
              <w:t>(534</w:t>
            </w:r>
            <w:r w:rsidR="005F1B83" w:rsidRPr="00D440C9">
              <w:rPr>
                <w:rFonts w:ascii="Arial" w:hAnsi="Arial" w:cs="Arial"/>
                <w:sz w:val="18"/>
                <w:szCs w:val="18"/>
                <w:lang w:val="en-GB"/>
              </w:rPr>
              <w:t>)</w:t>
            </w:r>
          </w:p>
        </w:tc>
        <w:tc>
          <w:tcPr>
            <w:tcW w:w="787"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1037"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787"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r>
      <w:tr w:rsidR="005F1B83" w:rsidRPr="00D440C9" w:rsidTr="005F1B83">
        <w:trPr>
          <w:trHeight w:val="161"/>
        </w:trPr>
        <w:tc>
          <w:tcPr>
            <w:tcW w:w="3261" w:type="dxa"/>
            <w:tcBorders>
              <w:top w:val="nil"/>
              <w:left w:val="nil"/>
              <w:bottom w:val="nil"/>
              <w:right w:val="nil"/>
            </w:tcBorders>
            <w:shd w:val="clear" w:color="000000" w:fill="FFFFFF"/>
            <w:vAlign w:val="bottom"/>
            <w:hideMark/>
          </w:tcPr>
          <w:p w:rsidR="005F1B83" w:rsidRPr="00D440C9" w:rsidRDefault="005F1B83" w:rsidP="00991C20">
            <w:pPr>
              <w:rPr>
                <w:rFonts w:ascii="Arial" w:hAnsi="Arial" w:cs="Arial"/>
                <w:sz w:val="18"/>
                <w:szCs w:val="18"/>
                <w:lang w:val="en-GB"/>
              </w:rPr>
            </w:pPr>
            <w:r w:rsidRPr="00D440C9">
              <w:rPr>
                <w:rFonts w:ascii="Arial" w:hAnsi="Arial" w:cs="Arial"/>
                <w:sz w:val="18"/>
                <w:szCs w:val="18"/>
                <w:lang w:val="en-GB"/>
              </w:rPr>
              <w:t>Credit in respect of share option schemes</w:t>
            </w:r>
          </w:p>
        </w:tc>
        <w:tc>
          <w:tcPr>
            <w:tcW w:w="765"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935"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803"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907"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937" w:type="dxa"/>
            <w:tcBorders>
              <w:top w:val="nil"/>
              <w:left w:val="nil"/>
              <w:bottom w:val="nil"/>
              <w:right w:val="nil"/>
            </w:tcBorders>
            <w:shd w:val="clear" w:color="auto" w:fill="auto"/>
            <w:vAlign w:val="bottom"/>
            <w:hideMark/>
          </w:tcPr>
          <w:p w:rsidR="005F1B83" w:rsidRPr="00D440C9" w:rsidRDefault="00A51AEE" w:rsidP="00991C20">
            <w:pPr>
              <w:jc w:val="right"/>
              <w:rPr>
                <w:rFonts w:ascii="Arial" w:hAnsi="Arial" w:cs="Arial"/>
                <w:sz w:val="18"/>
                <w:szCs w:val="18"/>
                <w:lang w:val="en-GB"/>
              </w:rPr>
            </w:pPr>
            <w:r>
              <w:rPr>
                <w:rFonts w:ascii="Arial" w:hAnsi="Arial" w:cs="Arial"/>
                <w:sz w:val="18"/>
                <w:szCs w:val="18"/>
                <w:lang w:val="en-GB"/>
              </w:rPr>
              <w:t>678</w:t>
            </w:r>
          </w:p>
        </w:tc>
        <w:tc>
          <w:tcPr>
            <w:tcW w:w="787" w:type="dxa"/>
            <w:tcBorders>
              <w:top w:val="nil"/>
              <w:left w:val="nil"/>
              <w:bottom w:val="nil"/>
              <w:right w:val="nil"/>
            </w:tcBorders>
            <w:shd w:val="clear" w:color="auto" w:fill="auto"/>
            <w:vAlign w:val="bottom"/>
            <w:hideMark/>
          </w:tcPr>
          <w:p w:rsidR="005F1B83" w:rsidRPr="00D440C9" w:rsidRDefault="00A51AEE" w:rsidP="00A51AEE">
            <w:pPr>
              <w:jc w:val="right"/>
              <w:rPr>
                <w:rFonts w:ascii="Arial" w:hAnsi="Arial" w:cs="Arial"/>
                <w:sz w:val="18"/>
                <w:szCs w:val="18"/>
                <w:lang w:val="en-GB"/>
              </w:rPr>
            </w:pPr>
            <w:r>
              <w:rPr>
                <w:rFonts w:ascii="Arial" w:hAnsi="Arial" w:cs="Arial"/>
                <w:sz w:val="18"/>
                <w:szCs w:val="18"/>
                <w:lang w:val="en-GB"/>
              </w:rPr>
              <w:t>678</w:t>
            </w:r>
          </w:p>
        </w:tc>
        <w:tc>
          <w:tcPr>
            <w:tcW w:w="1037"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787" w:type="dxa"/>
            <w:tcBorders>
              <w:top w:val="nil"/>
              <w:left w:val="nil"/>
              <w:bottom w:val="nil"/>
              <w:right w:val="nil"/>
            </w:tcBorders>
            <w:shd w:val="clear" w:color="auto" w:fill="auto"/>
            <w:vAlign w:val="bottom"/>
            <w:hideMark/>
          </w:tcPr>
          <w:p w:rsidR="005F1B83" w:rsidRPr="00D440C9" w:rsidRDefault="00A51AEE" w:rsidP="00991C20">
            <w:pPr>
              <w:jc w:val="right"/>
              <w:rPr>
                <w:rFonts w:ascii="Arial" w:hAnsi="Arial" w:cs="Arial"/>
                <w:sz w:val="18"/>
                <w:szCs w:val="18"/>
                <w:lang w:val="en-GB"/>
              </w:rPr>
            </w:pPr>
            <w:r>
              <w:rPr>
                <w:rFonts w:ascii="Arial" w:hAnsi="Arial" w:cs="Arial"/>
                <w:sz w:val="18"/>
                <w:szCs w:val="18"/>
                <w:lang w:val="en-GB"/>
              </w:rPr>
              <w:t>678</w:t>
            </w:r>
          </w:p>
        </w:tc>
      </w:tr>
      <w:tr w:rsidR="005F1B83" w:rsidRPr="00D440C9" w:rsidTr="005F1B83">
        <w:trPr>
          <w:trHeight w:val="183"/>
        </w:trPr>
        <w:tc>
          <w:tcPr>
            <w:tcW w:w="3261" w:type="dxa"/>
            <w:tcBorders>
              <w:top w:val="nil"/>
              <w:left w:val="nil"/>
              <w:bottom w:val="nil"/>
              <w:right w:val="nil"/>
            </w:tcBorders>
            <w:shd w:val="clear" w:color="000000" w:fill="FFFFFF"/>
            <w:vAlign w:val="bottom"/>
            <w:hideMark/>
          </w:tcPr>
          <w:p w:rsidR="005F1B83" w:rsidRPr="00D440C9" w:rsidRDefault="005F1B83" w:rsidP="00991C20">
            <w:pPr>
              <w:rPr>
                <w:rFonts w:ascii="Arial" w:hAnsi="Arial" w:cs="Arial"/>
                <w:sz w:val="18"/>
                <w:szCs w:val="18"/>
                <w:lang w:val="en-GB"/>
              </w:rPr>
            </w:pPr>
            <w:r w:rsidRPr="00D440C9">
              <w:rPr>
                <w:rFonts w:ascii="Arial" w:hAnsi="Arial" w:cs="Arial"/>
                <w:sz w:val="18"/>
                <w:szCs w:val="18"/>
                <w:lang w:val="en-GB"/>
              </w:rPr>
              <w:t>Deferred tax on items taken to equity</w:t>
            </w:r>
          </w:p>
        </w:tc>
        <w:tc>
          <w:tcPr>
            <w:tcW w:w="765"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935"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803"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907" w:type="dxa"/>
            <w:tcBorders>
              <w:top w:val="nil"/>
              <w:left w:val="nil"/>
              <w:bottom w:val="nil"/>
              <w:right w:val="nil"/>
            </w:tcBorders>
            <w:shd w:val="clear" w:color="auto" w:fill="auto"/>
            <w:vAlign w:val="bottom"/>
            <w:hideMark/>
          </w:tcPr>
          <w:p w:rsidR="005F1B83" w:rsidRPr="00D440C9" w:rsidRDefault="009701CB" w:rsidP="00991C20">
            <w:pPr>
              <w:jc w:val="right"/>
              <w:rPr>
                <w:rFonts w:ascii="Arial" w:hAnsi="Arial" w:cs="Arial"/>
                <w:sz w:val="18"/>
                <w:szCs w:val="18"/>
                <w:lang w:val="en-GB"/>
              </w:rPr>
            </w:pPr>
            <w:r>
              <w:rPr>
                <w:rFonts w:ascii="Arial" w:hAnsi="Arial" w:cs="Arial"/>
                <w:sz w:val="18"/>
                <w:szCs w:val="18"/>
                <w:lang w:val="en-GB"/>
              </w:rPr>
              <w:t>-</w:t>
            </w:r>
          </w:p>
        </w:tc>
        <w:tc>
          <w:tcPr>
            <w:tcW w:w="937" w:type="dxa"/>
            <w:tcBorders>
              <w:top w:val="nil"/>
              <w:left w:val="nil"/>
              <w:bottom w:val="nil"/>
              <w:right w:val="nil"/>
            </w:tcBorders>
            <w:shd w:val="clear" w:color="auto" w:fill="auto"/>
            <w:vAlign w:val="bottom"/>
            <w:hideMark/>
          </w:tcPr>
          <w:p w:rsidR="005F1B83" w:rsidRPr="00D440C9" w:rsidRDefault="00A51AEE" w:rsidP="00991C20">
            <w:pPr>
              <w:jc w:val="right"/>
              <w:rPr>
                <w:rFonts w:ascii="Arial" w:hAnsi="Arial" w:cs="Arial"/>
                <w:sz w:val="18"/>
                <w:szCs w:val="18"/>
                <w:lang w:val="en-GB"/>
              </w:rPr>
            </w:pPr>
            <w:r>
              <w:rPr>
                <w:rFonts w:ascii="Arial" w:hAnsi="Arial" w:cs="Arial"/>
                <w:sz w:val="18"/>
                <w:szCs w:val="18"/>
                <w:lang w:val="en-GB"/>
              </w:rPr>
              <w:t>(65</w:t>
            </w:r>
            <w:r w:rsidR="00EA4E3C">
              <w:rPr>
                <w:rFonts w:ascii="Arial" w:hAnsi="Arial" w:cs="Arial"/>
                <w:sz w:val="18"/>
                <w:szCs w:val="18"/>
                <w:lang w:val="en-GB"/>
              </w:rPr>
              <w:t>)</w:t>
            </w:r>
          </w:p>
        </w:tc>
        <w:tc>
          <w:tcPr>
            <w:tcW w:w="787" w:type="dxa"/>
            <w:tcBorders>
              <w:top w:val="nil"/>
              <w:left w:val="nil"/>
              <w:bottom w:val="nil"/>
              <w:right w:val="nil"/>
            </w:tcBorders>
            <w:shd w:val="clear" w:color="auto" w:fill="auto"/>
            <w:vAlign w:val="bottom"/>
            <w:hideMark/>
          </w:tcPr>
          <w:p w:rsidR="005F1B83" w:rsidRPr="00D440C9" w:rsidRDefault="00A51AEE" w:rsidP="00991C20">
            <w:pPr>
              <w:jc w:val="right"/>
              <w:rPr>
                <w:rFonts w:ascii="Arial" w:hAnsi="Arial" w:cs="Arial"/>
                <w:sz w:val="18"/>
                <w:szCs w:val="18"/>
                <w:lang w:val="en-GB"/>
              </w:rPr>
            </w:pPr>
            <w:r>
              <w:rPr>
                <w:rFonts w:ascii="Arial" w:hAnsi="Arial" w:cs="Arial"/>
                <w:sz w:val="18"/>
                <w:szCs w:val="18"/>
                <w:lang w:val="en-GB"/>
              </w:rPr>
              <w:t>(65</w:t>
            </w:r>
            <w:r w:rsidR="00EA4E3C">
              <w:rPr>
                <w:rFonts w:ascii="Arial" w:hAnsi="Arial" w:cs="Arial"/>
                <w:sz w:val="18"/>
                <w:szCs w:val="18"/>
                <w:lang w:val="en-GB"/>
              </w:rPr>
              <w:t>)</w:t>
            </w:r>
          </w:p>
        </w:tc>
        <w:tc>
          <w:tcPr>
            <w:tcW w:w="1037" w:type="dxa"/>
            <w:tcBorders>
              <w:top w:val="nil"/>
              <w:left w:val="nil"/>
              <w:bottom w:val="nil"/>
              <w:right w:val="nil"/>
            </w:tcBorders>
            <w:shd w:val="clear" w:color="auto" w:fill="auto"/>
            <w:vAlign w:val="bottom"/>
            <w:hideMark/>
          </w:tcPr>
          <w:p w:rsidR="005F1B83" w:rsidRPr="00D440C9" w:rsidRDefault="005F1B83" w:rsidP="00991C20">
            <w:pPr>
              <w:jc w:val="right"/>
              <w:rPr>
                <w:rFonts w:ascii="Arial" w:hAnsi="Arial" w:cs="Arial"/>
                <w:sz w:val="18"/>
                <w:szCs w:val="18"/>
                <w:lang w:val="en-GB"/>
              </w:rPr>
            </w:pPr>
            <w:r w:rsidRPr="00D440C9">
              <w:rPr>
                <w:rFonts w:ascii="Arial" w:hAnsi="Arial" w:cs="Arial"/>
                <w:sz w:val="18"/>
                <w:szCs w:val="18"/>
                <w:lang w:val="en-GB"/>
              </w:rPr>
              <w:t xml:space="preserve">-  </w:t>
            </w:r>
          </w:p>
        </w:tc>
        <w:tc>
          <w:tcPr>
            <w:tcW w:w="787" w:type="dxa"/>
            <w:tcBorders>
              <w:top w:val="nil"/>
              <w:left w:val="nil"/>
              <w:bottom w:val="nil"/>
              <w:right w:val="nil"/>
            </w:tcBorders>
            <w:shd w:val="clear" w:color="auto" w:fill="auto"/>
            <w:vAlign w:val="bottom"/>
            <w:hideMark/>
          </w:tcPr>
          <w:p w:rsidR="005F1B83" w:rsidRPr="00D440C9" w:rsidRDefault="00A51AEE" w:rsidP="00991C20">
            <w:pPr>
              <w:jc w:val="right"/>
              <w:rPr>
                <w:rFonts w:ascii="Arial" w:hAnsi="Arial" w:cs="Arial"/>
                <w:sz w:val="18"/>
                <w:szCs w:val="18"/>
                <w:lang w:val="en-GB"/>
              </w:rPr>
            </w:pPr>
            <w:r>
              <w:rPr>
                <w:rFonts w:ascii="Arial" w:hAnsi="Arial" w:cs="Arial"/>
                <w:sz w:val="18"/>
                <w:szCs w:val="18"/>
                <w:lang w:val="en-GB"/>
              </w:rPr>
              <w:t>(65</w:t>
            </w:r>
            <w:r w:rsidR="00EA4E3C">
              <w:rPr>
                <w:rFonts w:ascii="Arial" w:hAnsi="Arial" w:cs="Arial"/>
                <w:sz w:val="18"/>
                <w:szCs w:val="18"/>
                <w:lang w:val="en-GB"/>
              </w:rPr>
              <w:t>)</w:t>
            </w:r>
          </w:p>
        </w:tc>
      </w:tr>
      <w:tr w:rsidR="005F1B83" w:rsidRPr="00D440C9" w:rsidTr="005F1B83">
        <w:trPr>
          <w:trHeight w:val="110"/>
        </w:trPr>
        <w:tc>
          <w:tcPr>
            <w:tcW w:w="3261" w:type="dxa"/>
            <w:tcBorders>
              <w:top w:val="single" w:sz="4" w:space="0" w:color="auto"/>
              <w:left w:val="nil"/>
              <w:bottom w:val="single" w:sz="8" w:space="0" w:color="auto"/>
              <w:right w:val="nil"/>
            </w:tcBorders>
            <w:shd w:val="clear" w:color="000000" w:fill="FFFFFF"/>
            <w:vAlign w:val="bottom"/>
            <w:hideMark/>
          </w:tcPr>
          <w:p w:rsidR="005F1B83" w:rsidRPr="00D440C9" w:rsidRDefault="005F1B83" w:rsidP="009701CB">
            <w:pPr>
              <w:rPr>
                <w:rFonts w:ascii="Arial" w:hAnsi="Arial" w:cs="Arial"/>
                <w:b/>
                <w:bCs/>
                <w:sz w:val="18"/>
                <w:szCs w:val="18"/>
                <w:lang w:val="en-GB"/>
              </w:rPr>
            </w:pPr>
            <w:r w:rsidRPr="00D440C9">
              <w:rPr>
                <w:rFonts w:ascii="Arial" w:hAnsi="Arial" w:cs="Arial"/>
                <w:b/>
                <w:bCs/>
                <w:sz w:val="18"/>
                <w:szCs w:val="18"/>
                <w:lang w:val="en-GB"/>
              </w:rPr>
              <w:t>At 2</w:t>
            </w:r>
            <w:r w:rsidR="00A51AEE">
              <w:rPr>
                <w:rFonts w:ascii="Arial" w:hAnsi="Arial" w:cs="Arial"/>
                <w:b/>
                <w:bCs/>
                <w:sz w:val="18"/>
                <w:szCs w:val="18"/>
                <w:lang w:val="en-GB"/>
              </w:rPr>
              <w:t>8</w:t>
            </w:r>
            <w:r w:rsidRPr="00D440C9">
              <w:rPr>
                <w:rFonts w:ascii="Arial" w:hAnsi="Arial" w:cs="Arial"/>
                <w:b/>
                <w:bCs/>
                <w:sz w:val="18"/>
                <w:szCs w:val="18"/>
                <w:lang w:val="en-GB"/>
              </w:rPr>
              <w:t xml:space="preserve"> February 201</w:t>
            </w:r>
            <w:r w:rsidR="00A51AEE">
              <w:rPr>
                <w:rFonts w:ascii="Arial" w:hAnsi="Arial" w:cs="Arial"/>
                <w:b/>
                <w:bCs/>
                <w:sz w:val="18"/>
                <w:szCs w:val="18"/>
                <w:lang w:val="en-GB"/>
              </w:rPr>
              <w:t>3</w:t>
            </w:r>
          </w:p>
        </w:tc>
        <w:tc>
          <w:tcPr>
            <w:tcW w:w="765" w:type="dxa"/>
            <w:tcBorders>
              <w:top w:val="single" w:sz="4" w:space="0" w:color="auto"/>
              <w:left w:val="nil"/>
              <w:bottom w:val="single" w:sz="8" w:space="0" w:color="auto"/>
              <w:right w:val="nil"/>
            </w:tcBorders>
            <w:shd w:val="clear" w:color="auto" w:fill="auto"/>
            <w:vAlign w:val="bottom"/>
            <w:hideMark/>
          </w:tcPr>
          <w:p w:rsidR="005F1B83" w:rsidRPr="00D440C9" w:rsidRDefault="009701CB" w:rsidP="00991C20">
            <w:pPr>
              <w:jc w:val="right"/>
              <w:rPr>
                <w:rFonts w:ascii="Arial" w:hAnsi="Arial" w:cs="Arial"/>
                <w:b/>
                <w:bCs/>
                <w:sz w:val="18"/>
                <w:szCs w:val="18"/>
                <w:lang w:val="en-GB"/>
              </w:rPr>
            </w:pPr>
            <w:r>
              <w:rPr>
                <w:rFonts w:ascii="Arial" w:hAnsi="Arial" w:cs="Arial"/>
                <w:b/>
                <w:bCs/>
                <w:sz w:val="18"/>
                <w:szCs w:val="18"/>
                <w:lang w:val="en-GB"/>
              </w:rPr>
              <w:t>2,16</w:t>
            </w:r>
            <w:r w:rsidR="00A51AEE">
              <w:rPr>
                <w:rFonts w:ascii="Arial" w:hAnsi="Arial" w:cs="Arial"/>
                <w:b/>
                <w:bCs/>
                <w:sz w:val="18"/>
                <w:szCs w:val="18"/>
                <w:lang w:val="en-GB"/>
              </w:rPr>
              <w:t>5</w:t>
            </w:r>
          </w:p>
        </w:tc>
        <w:tc>
          <w:tcPr>
            <w:tcW w:w="935" w:type="dxa"/>
            <w:tcBorders>
              <w:top w:val="single" w:sz="4" w:space="0" w:color="auto"/>
              <w:left w:val="nil"/>
              <w:bottom w:val="single" w:sz="8" w:space="0" w:color="auto"/>
              <w:right w:val="nil"/>
            </w:tcBorders>
            <w:shd w:val="clear" w:color="auto" w:fill="auto"/>
            <w:vAlign w:val="bottom"/>
            <w:hideMark/>
          </w:tcPr>
          <w:p w:rsidR="005F1B83" w:rsidRPr="00D440C9" w:rsidRDefault="005F1B83" w:rsidP="009701CB">
            <w:pPr>
              <w:jc w:val="right"/>
              <w:rPr>
                <w:rFonts w:ascii="Arial" w:hAnsi="Arial" w:cs="Arial"/>
                <w:b/>
                <w:bCs/>
                <w:sz w:val="18"/>
                <w:szCs w:val="18"/>
                <w:lang w:val="en-GB"/>
              </w:rPr>
            </w:pPr>
            <w:r w:rsidRPr="00D440C9">
              <w:rPr>
                <w:rFonts w:ascii="Arial" w:hAnsi="Arial" w:cs="Arial"/>
                <w:b/>
                <w:bCs/>
                <w:sz w:val="18"/>
                <w:szCs w:val="18"/>
                <w:lang w:val="en-GB"/>
              </w:rPr>
              <w:t>1</w:t>
            </w:r>
            <w:r w:rsidR="009701CB">
              <w:rPr>
                <w:rFonts w:ascii="Arial" w:hAnsi="Arial" w:cs="Arial"/>
                <w:b/>
                <w:bCs/>
                <w:sz w:val="18"/>
                <w:szCs w:val="18"/>
                <w:lang w:val="en-GB"/>
              </w:rPr>
              <w:t>2</w:t>
            </w:r>
            <w:r w:rsidRPr="00D440C9">
              <w:rPr>
                <w:rFonts w:ascii="Arial" w:hAnsi="Arial" w:cs="Arial"/>
                <w:b/>
                <w:bCs/>
                <w:sz w:val="18"/>
                <w:szCs w:val="18"/>
                <w:lang w:val="en-GB"/>
              </w:rPr>
              <w:t>,</w:t>
            </w:r>
            <w:r w:rsidR="00A51AEE">
              <w:rPr>
                <w:rFonts w:ascii="Arial" w:hAnsi="Arial" w:cs="Arial"/>
                <w:b/>
                <w:bCs/>
                <w:sz w:val="18"/>
                <w:szCs w:val="18"/>
                <w:lang w:val="en-GB"/>
              </w:rPr>
              <w:t>150</w:t>
            </w:r>
          </w:p>
        </w:tc>
        <w:tc>
          <w:tcPr>
            <w:tcW w:w="803" w:type="dxa"/>
            <w:tcBorders>
              <w:top w:val="single" w:sz="4" w:space="0" w:color="auto"/>
              <w:left w:val="nil"/>
              <w:bottom w:val="single" w:sz="8" w:space="0" w:color="auto"/>
              <w:right w:val="nil"/>
            </w:tcBorders>
            <w:shd w:val="clear" w:color="auto" w:fill="auto"/>
            <w:vAlign w:val="bottom"/>
            <w:hideMark/>
          </w:tcPr>
          <w:p w:rsidR="005F1B83" w:rsidRPr="00D440C9" w:rsidRDefault="005F1B83" w:rsidP="009701CB">
            <w:pPr>
              <w:jc w:val="right"/>
              <w:rPr>
                <w:rFonts w:ascii="Arial" w:hAnsi="Arial" w:cs="Arial"/>
                <w:b/>
                <w:bCs/>
                <w:sz w:val="18"/>
                <w:szCs w:val="18"/>
                <w:lang w:val="en-GB"/>
              </w:rPr>
            </w:pPr>
            <w:r w:rsidRPr="00D440C9">
              <w:rPr>
                <w:rFonts w:ascii="Arial" w:hAnsi="Arial" w:cs="Arial"/>
                <w:b/>
                <w:bCs/>
                <w:sz w:val="18"/>
                <w:szCs w:val="18"/>
                <w:lang w:val="en-GB"/>
              </w:rPr>
              <w:t>(3,</w:t>
            </w:r>
            <w:r w:rsidR="00A51AEE">
              <w:rPr>
                <w:rFonts w:ascii="Arial" w:hAnsi="Arial" w:cs="Arial"/>
                <w:b/>
                <w:bCs/>
                <w:sz w:val="18"/>
                <w:szCs w:val="18"/>
                <w:lang w:val="en-GB"/>
              </w:rPr>
              <w:t>309</w:t>
            </w:r>
            <w:r w:rsidRPr="00D440C9">
              <w:rPr>
                <w:rFonts w:ascii="Arial" w:hAnsi="Arial" w:cs="Arial"/>
                <w:b/>
                <w:bCs/>
                <w:sz w:val="18"/>
                <w:szCs w:val="18"/>
                <w:lang w:val="en-GB"/>
              </w:rPr>
              <w:t>)</w:t>
            </w:r>
          </w:p>
        </w:tc>
        <w:tc>
          <w:tcPr>
            <w:tcW w:w="907" w:type="dxa"/>
            <w:tcBorders>
              <w:top w:val="single" w:sz="4" w:space="0" w:color="auto"/>
              <w:left w:val="nil"/>
              <w:bottom w:val="single" w:sz="8" w:space="0" w:color="auto"/>
              <w:right w:val="nil"/>
            </w:tcBorders>
            <w:shd w:val="clear" w:color="auto" w:fill="auto"/>
            <w:vAlign w:val="bottom"/>
            <w:hideMark/>
          </w:tcPr>
          <w:p w:rsidR="005F1B83" w:rsidRPr="00D440C9" w:rsidRDefault="005F1B83" w:rsidP="00EA7437">
            <w:pPr>
              <w:jc w:val="right"/>
              <w:rPr>
                <w:rFonts w:ascii="Arial" w:hAnsi="Arial" w:cs="Arial"/>
                <w:b/>
                <w:bCs/>
                <w:sz w:val="18"/>
                <w:szCs w:val="18"/>
                <w:lang w:val="en-GB"/>
              </w:rPr>
            </w:pPr>
            <w:r w:rsidRPr="00D440C9">
              <w:rPr>
                <w:rFonts w:ascii="Arial" w:hAnsi="Arial" w:cs="Arial"/>
                <w:b/>
                <w:bCs/>
                <w:sz w:val="18"/>
                <w:szCs w:val="18"/>
                <w:lang w:val="en-GB"/>
              </w:rPr>
              <w:t>2</w:t>
            </w:r>
            <w:r w:rsidR="00A51AEE">
              <w:rPr>
                <w:rFonts w:ascii="Arial" w:hAnsi="Arial" w:cs="Arial"/>
                <w:b/>
                <w:bCs/>
                <w:sz w:val="18"/>
                <w:szCs w:val="18"/>
                <w:lang w:val="en-GB"/>
              </w:rPr>
              <w:t>7,630</w:t>
            </w:r>
          </w:p>
        </w:tc>
        <w:tc>
          <w:tcPr>
            <w:tcW w:w="937" w:type="dxa"/>
            <w:tcBorders>
              <w:top w:val="single" w:sz="4" w:space="0" w:color="auto"/>
              <w:left w:val="nil"/>
              <w:bottom w:val="single" w:sz="8" w:space="0" w:color="auto"/>
              <w:right w:val="nil"/>
            </w:tcBorders>
            <w:shd w:val="clear" w:color="auto" w:fill="auto"/>
            <w:vAlign w:val="bottom"/>
            <w:hideMark/>
          </w:tcPr>
          <w:p w:rsidR="005F1B83" w:rsidRPr="00D440C9" w:rsidRDefault="00A51AEE" w:rsidP="009C31BF">
            <w:pPr>
              <w:jc w:val="right"/>
              <w:rPr>
                <w:rFonts w:ascii="Arial" w:hAnsi="Arial" w:cs="Arial"/>
                <w:b/>
                <w:bCs/>
                <w:sz w:val="18"/>
                <w:szCs w:val="18"/>
                <w:lang w:val="en-GB"/>
              </w:rPr>
            </w:pPr>
            <w:r>
              <w:rPr>
                <w:rFonts w:ascii="Arial" w:hAnsi="Arial" w:cs="Arial"/>
                <w:b/>
                <w:bCs/>
                <w:sz w:val="18"/>
                <w:szCs w:val="18"/>
                <w:lang w:val="en-GB"/>
              </w:rPr>
              <w:t>30</w:t>
            </w:r>
            <w:r w:rsidR="005F1B83" w:rsidRPr="00D440C9">
              <w:rPr>
                <w:rFonts w:ascii="Arial" w:hAnsi="Arial" w:cs="Arial"/>
                <w:b/>
                <w:bCs/>
                <w:sz w:val="18"/>
                <w:szCs w:val="18"/>
                <w:lang w:val="en-GB"/>
              </w:rPr>
              <w:t>,</w:t>
            </w:r>
            <w:r>
              <w:rPr>
                <w:rFonts w:ascii="Arial" w:hAnsi="Arial" w:cs="Arial"/>
                <w:b/>
                <w:bCs/>
                <w:sz w:val="18"/>
                <w:szCs w:val="18"/>
                <w:lang w:val="en-GB"/>
              </w:rPr>
              <w:t>962</w:t>
            </w:r>
          </w:p>
        </w:tc>
        <w:tc>
          <w:tcPr>
            <w:tcW w:w="787" w:type="dxa"/>
            <w:tcBorders>
              <w:top w:val="single" w:sz="4" w:space="0" w:color="auto"/>
              <w:left w:val="nil"/>
              <w:bottom w:val="single" w:sz="8" w:space="0" w:color="auto"/>
              <w:right w:val="nil"/>
            </w:tcBorders>
            <w:shd w:val="clear" w:color="auto" w:fill="auto"/>
            <w:vAlign w:val="bottom"/>
            <w:hideMark/>
          </w:tcPr>
          <w:p w:rsidR="005F1B83" w:rsidRPr="00D440C9" w:rsidRDefault="005F1B83" w:rsidP="00A51AEE">
            <w:pPr>
              <w:jc w:val="right"/>
              <w:rPr>
                <w:rFonts w:ascii="Arial" w:hAnsi="Arial" w:cs="Arial"/>
                <w:b/>
                <w:bCs/>
                <w:sz w:val="18"/>
                <w:szCs w:val="18"/>
                <w:lang w:val="en-GB"/>
              </w:rPr>
            </w:pPr>
            <w:r w:rsidRPr="00D440C9">
              <w:rPr>
                <w:rFonts w:ascii="Arial" w:hAnsi="Arial" w:cs="Arial"/>
                <w:b/>
                <w:bCs/>
                <w:sz w:val="18"/>
                <w:szCs w:val="18"/>
                <w:lang w:val="en-GB"/>
              </w:rPr>
              <w:t>6</w:t>
            </w:r>
            <w:r w:rsidR="00A51AEE">
              <w:rPr>
                <w:rFonts w:ascii="Arial" w:hAnsi="Arial" w:cs="Arial"/>
                <w:b/>
                <w:bCs/>
                <w:sz w:val="18"/>
                <w:szCs w:val="18"/>
                <w:lang w:val="en-GB"/>
              </w:rPr>
              <w:t>9</w:t>
            </w:r>
            <w:r w:rsidRPr="00D440C9">
              <w:rPr>
                <w:rFonts w:ascii="Arial" w:hAnsi="Arial" w:cs="Arial"/>
                <w:b/>
                <w:bCs/>
                <w:sz w:val="18"/>
                <w:szCs w:val="18"/>
                <w:lang w:val="en-GB"/>
              </w:rPr>
              <w:t>,</w:t>
            </w:r>
            <w:r w:rsidR="00A51AEE">
              <w:rPr>
                <w:rFonts w:ascii="Arial" w:hAnsi="Arial" w:cs="Arial"/>
                <w:b/>
                <w:bCs/>
                <w:sz w:val="18"/>
                <w:szCs w:val="18"/>
                <w:lang w:val="en-GB"/>
              </w:rPr>
              <w:t>59</w:t>
            </w:r>
            <w:r w:rsidR="00EA4E3C">
              <w:rPr>
                <w:rFonts w:ascii="Arial" w:hAnsi="Arial" w:cs="Arial"/>
                <w:b/>
                <w:bCs/>
                <w:sz w:val="18"/>
                <w:szCs w:val="18"/>
                <w:lang w:val="en-GB"/>
              </w:rPr>
              <w:t>8</w:t>
            </w:r>
          </w:p>
        </w:tc>
        <w:tc>
          <w:tcPr>
            <w:tcW w:w="1037" w:type="dxa"/>
            <w:tcBorders>
              <w:top w:val="single" w:sz="4" w:space="0" w:color="auto"/>
              <w:left w:val="nil"/>
              <w:bottom w:val="single" w:sz="8" w:space="0" w:color="auto"/>
              <w:right w:val="nil"/>
            </w:tcBorders>
            <w:shd w:val="clear" w:color="auto" w:fill="auto"/>
            <w:vAlign w:val="bottom"/>
            <w:hideMark/>
          </w:tcPr>
          <w:p w:rsidR="005F1B83" w:rsidRPr="00D440C9" w:rsidRDefault="00EA4E3C" w:rsidP="00991C20">
            <w:pPr>
              <w:jc w:val="right"/>
              <w:rPr>
                <w:rFonts w:ascii="Arial" w:hAnsi="Arial" w:cs="Arial"/>
                <w:b/>
                <w:bCs/>
                <w:sz w:val="18"/>
                <w:szCs w:val="18"/>
                <w:lang w:val="en-GB"/>
              </w:rPr>
            </w:pPr>
            <w:r>
              <w:rPr>
                <w:rFonts w:ascii="Arial" w:hAnsi="Arial" w:cs="Arial"/>
                <w:b/>
                <w:bCs/>
                <w:sz w:val="18"/>
                <w:szCs w:val="18"/>
                <w:lang w:val="en-GB"/>
              </w:rPr>
              <w:t>2</w:t>
            </w:r>
            <w:r w:rsidR="00A51AEE">
              <w:rPr>
                <w:rFonts w:ascii="Arial" w:hAnsi="Arial" w:cs="Arial"/>
                <w:b/>
                <w:bCs/>
                <w:sz w:val="18"/>
                <w:szCs w:val="18"/>
                <w:lang w:val="en-GB"/>
              </w:rPr>
              <w:t>45</w:t>
            </w:r>
          </w:p>
        </w:tc>
        <w:tc>
          <w:tcPr>
            <w:tcW w:w="787" w:type="dxa"/>
            <w:tcBorders>
              <w:top w:val="single" w:sz="4" w:space="0" w:color="auto"/>
              <w:left w:val="nil"/>
              <w:bottom w:val="single" w:sz="8" w:space="0" w:color="auto"/>
              <w:right w:val="nil"/>
            </w:tcBorders>
            <w:shd w:val="clear" w:color="auto" w:fill="auto"/>
            <w:vAlign w:val="bottom"/>
            <w:hideMark/>
          </w:tcPr>
          <w:p w:rsidR="005F1B83" w:rsidRPr="00D440C9" w:rsidRDefault="005F1B83" w:rsidP="00A51AEE">
            <w:pPr>
              <w:jc w:val="right"/>
              <w:rPr>
                <w:rFonts w:ascii="Arial" w:hAnsi="Arial" w:cs="Arial"/>
                <w:b/>
                <w:bCs/>
                <w:sz w:val="18"/>
                <w:szCs w:val="18"/>
                <w:lang w:val="en-GB"/>
              </w:rPr>
            </w:pPr>
            <w:r>
              <w:rPr>
                <w:rFonts w:ascii="Arial" w:hAnsi="Arial" w:cs="Arial"/>
                <w:b/>
                <w:bCs/>
                <w:sz w:val="18"/>
                <w:szCs w:val="18"/>
                <w:lang w:val="en-GB"/>
              </w:rPr>
              <w:t>6</w:t>
            </w:r>
            <w:r w:rsidR="00A51AEE">
              <w:rPr>
                <w:rFonts w:ascii="Arial" w:hAnsi="Arial" w:cs="Arial"/>
                <w:b/>
                <w:bCs/>
                <w:sz w:val="18"/>
                <w:szCs w:val="18"/>
                <w:lang w:val="en-GB"/>
              </w:rPr>
              <w:t>9</w:t>
            </w:r>
            <w:r>
              <w:rPr>
                <w:rFonts w:ascii="Arial" w:hAnsi="Arial" w:cs="Arial"/>
                <w:b/>
                <w:bCs/>
                <w:sz w:val="18"/>
                <w:szCs w:val="18"/>
                <w:lang w:val="en-GB"/>
              </w:rPr>
              <w:t>,</w:t>
            </w:r>
            <w:r w:rsidR="009C31BF">
              <w:rPr>
                <w:rFonts w:ascii="Arial" w:hAnsi="Arial" w:cs="Arial"/>
                <w:b/>
                <w:bCs/>
                <w:sz w:val="18"/>
                <w:szCs w:val="18"/>
                <w:lang w:val="en-GB"/>
              </w:rPr>
              <w:t>8</w:t>
            </w:r>
            <w:r w:rsidR="00A51AEE">
              <w:rPr>
                <w:rFonts w:ascii="Arial" w:hAnsi="Arial" w:cs="Arial"/>
                <w:b/>
                <w:bCs/>
                <w:sz w:val="18"/>
                <w:szCs w:val="18"/>
                <w:lang w:val="en-GB"/>
              </w:rPr>
              <w:t>4</w:t>
            </w:r>
            <w:r w:rsidR="009C31BF">
              <w:rPr>
                <w:rFonts w:ascii="Arial" w:hAnsi="Arial" w:cs="Arial"/>
                <w:b/>
                <w:bCs/>
                <w:sz w:val="18"/>
                <w:szCs w:val="18"/>
                <w:lang w:val="en-GB"/>
              </w:rPr>
              <w:t>3</w:t>
            </w:r>
          </w:p>
        </w:tc>
      </w:tr>
    </w:tbl>
    <w:p w:rsidR="000433F6" w:rsidRPr="00D440C9" w:rsidRDefault="00B10E8F" w:rsidP="00961310">
      <w:pPr>
        <w:pStyle w:val="HTMLPreformatted"/>
        <w:ind w:right="-852"/>
        <w:rPr>
          <w:rFonts w:ascii="Arial" w:hAnsi="Arial" w:cs="Arial"/>
          <w:b/>
          <w:bCs/>
        </w:rPr>
      </w:pPr>
      <w:r w:rsidRPr="00D440C9">
        <w:rPr>
          <w:rFonts w:ascii="Arial" w:hAnsi="Arial" w:cs="Arial"/>
          <w:b/>
          <w:bCs/>
        </w:rPr>
        <w:br w:type="page"/>
      </w:r>
      <w:r w:rsidR="000433F6" w:rsidRPr="00D440C9">
        <w:rPr>
          <w:rFonts w:ascii="Arial" w:hAnsi="Arial" w:cs="Arial"/>
          <w:b/>
          <w:bCs/>
        </w:rPr>
        <w:lastRenderedPageBreak/>
        <w:t>Braemar Shipping Services PLC</w:t>
      </w:r>
    </w:p>
    <w:p w:rsidR="000433F6" w:rsidRPr="00D440C9" w:rsidRDefault="000433F6">
      <w:pPr>
        <w:tabs>
          <w:tab w:val="left" w:pos="0"/>
          <w:tab w:val="left" w:pos="142"/>
          <w:tab w:val="right" w:pos="3960"/>
          <w:tab w:val="decimal" w:pos="5688"/>
          <w:tab w:val="decimal" w:pos="7272"/>
          <w:tab w:val="decimal" w:pos="8712"/>
          <w:tab w:val="decimal" w:pos="9864"/>
        </w:tabs>
        <w:rPr>
          <w:rFonts w:ascii="Arial" w:hAnsi="Arial" w:cs="Arial"/>
          <w:b/>
          <w:bCs/>
          <w:lang w:val="en-GB"/>
        </w:rPr>
      </w:pPr>
      <w:r w:rsidRPr="00D440C9">
        <w:rPr>
          <w:rFonts w:ascii="Arial" w:hAnsi="Arial" w:cs="Arial"/>
          <w:b/>
          <w:bCs/>
          <w:lang w:val="en-GB"/>
        </w:rPr>
        <w:t>Notes to the financial statements</w:t>
      </w:r>
      <w:r w:rsidRPr="00D440C9">
        <w:rPr>
          <w:rFonts w:ascii="Arial" w:hAnsi="Arial" w:cs="Arial"/>
          <w:b/>
          <w:bCs/>
          <w:lang w:val="en-GB"/>
        </w:rPr>
        <w:tab/>
      </w:r>
    </w:p>
    <w:p w:rsidR="000433F6" w:rsidRPr="00D440C9" w:rsidRDefault="000433F6">
      <w:pPr>
        <w:tabs>
          <w:tab w:val="left" w:pos="0"/>
          <w:tab w:val="left" w:pos="862"/>
          <w:tab w:val="left" w:pos="1730"/>
        </w:tabs>
        <w:jc w:val="both"/>
        <w:rPr>
          <w:rFonts w:ascii="Arial" w:hAnsi="Arial" w:cs="Arial"/>
          <w:b/>
          <w:bCs/>
          <w:sz w:val="20"/>
          <w:lang w:val="en-GB"/>
        </w:rPr>
      </w:pPr>
    </w:p>
    <w:p w:rsidR="000433F6" w:rsidRPr="00D440C9" w:rsidRDefault="000433F6" w:rsidP="00AC5595">
      <w:pPr>
        <w:tabs>
          <w:tab w:val="left" w:pos="0"/>
          <w:tab w:val="left" w:pos="862"/>
          <w:tab w:val="left" w:pos="1730"/>
        </w:tabs>
        <w:spacing w:after="120"/>
        <w:jc w:val="both"/>
        <w:rPr>
          <w:rFonts w:ascii="Arial" w:hAnsi="Arial" w:cs="Arial"/>
          <w:b/>
          <w:sz w:val="20"/>
          <w:lang w:val="en-GB"/>
        </w:rPr>
      </w:pPr>
      <w:r w:rsidRPr="00D440C9">
        <w:rPr>
          <w:rFonts w:ascii="Arial" w:hAnsi="Arial" w:cs="Arial"/>
          <w:b/>
          <w:bCs/>
          <w:sz w:val="20"/>
          <w:lang w:val="en-GB"/>
        </w:rPr>
        <w:t>Note 1 – General Information</w:t>
      </w:r>
    </w:p>
    <w:p w:rsidR="000433F6" w:rsidRPr="007B2E80" w:rsidRDefault="00A14B07" w:rsidP="00821AB3">
      <w:pPr>
        <w:pStyle w:val="BodyText2"/>
        <w:spacing w:after="120" w:line="240" w:lineRule="auto"/>
        <w:rPr>
          <w:sz w:val="20"/>
        </w:rPr>
      </w:pPr>
      <w:r w:rsidRPr="007B2E80">
        <w:rPr>
          <w:sz w:val="20"/>
        </w:rPr>
        <w:t>The financial information set out above does not constitute the company's statutory accounts for the years ended 2</w:t>
      </w:r>
      <w:r w:rsidR="00A51AEE">
        <w:rPr>
          <w:sz w:val="20"/>
        </w:rPr>
        <w:t>8</w:t>
      </w:r>
      <w:r w:rsidRPr="007B2E80">
        <w:rPr>
          <w:sz w:val="20"/>
        </w:rPr>
        <w:t xml:space="preserve"> February 201</w:t>
      </w:r>
      <w:r w:rsidR="00A51AEE">
        <w:rPr>
          <w:sz w:val="20"/>
        </w:rPr>
        <w:t>3</w:t>
      </w:r>
      <w:r w:rsidRPr="007B2E80">
        <w:rPr>
          <w:sz w:val="20"/>
        </w:rPr>
        <w:t xml:space="preserve"> or </w:t>
      </w:r>
      <w:r w:rsidR="00BD02D4">
        <w:rPr>
          <w:sz w:val="20"/>
        </w:rPr>
        <w:t>2</w:t>
      </w:r>
      <w:r w:rsidR="00A51AEE">
        <w:rPr>
          <w:sz w:val="20"/>
        </w:rPr>
        <w:t>9</w:t>
      </w:r>
      <w:r w:rsidR="00BD02D4">
        <w:rPr>
          <w:sz w:val="20"/>
        </w:rPr>
        <w:t xml:space="preserve"> February 201</w:t>
      </w:r>
      <w:r w:rsidR="00A51AEE">
        <w:rPr>
          <w:sz w:val="20"/>
        </w:rPr>
        <w:t>2</w:t>
      </w:r>
      <w:r w:rsidRPr="007B2E80">
        <w:rPr>
          <w:sz w:val="20"/>
        </w:rPr>
        <w:t xml:space="preserve"> but is derived from those accounts. Statutory accounts for 201</w:t>
      </w:r>
      <w:r w:rsidR="00A51AEE">
        <w:rPr>
          <w:sz w:val="20"/>
        </w:rPr>
        <w:t>2</w:t>
      </w:r>
      <w:r w:rsidRPr="007B2E80">
        <w:rPr>
          <w:sz w:val="20"/>
        </w:rPr>
        <w:t xml:space="preserve"> have been delivered to the registrar of companies, and those for 201</w:t>
      </w:r>
      <w:r w:rsidR="00A51AEE">
        <w:rPr>
          <w:sz w:val="20"/>
        </w:rPr>
        <w:t>3</w:t>
      </w:r>
      <w:r w:rsidRPr="007B2E80">
        <w:rPr>
          <w:sz w:val="20"/>
        </w:rPr>
        <w:t xml:space="preserve"> will be delivered in due course. The auditor has reported on those accounts; their reports were (</w:t>
      </w:r>
      <w:proofErr w:type="spellStart"/>
      <w:r w:rsidRPr="007B2E80">
        <w:rPr>
          <w:sz w:val="20"/>
        </w:rPr>
        <w:t>i</w:t>
      </w:r>
      <w:proofErr w:type="spellEnd"/>
      <w:r w:rsidRPr="007B2E80">
        <w:rPr>
          <w:sz w:val="20"/>
        </w:rPr>
        <w:t>) unqualified, (ii) did not include a reference to any matters to which the auditor drew attention by way of emphasis without qualifying their report and (iii) did not contain a statement under section 498 (2) or (3) of the Companies Act 2006.</w:t>
      </w:r>
    </w:p>
    <w:p w:rsidR="000433F6" w:rsidRPr="00D440C9" w:rsidRDefault="000433F6">
      <w:pPr>
        <w:tabs>
          <w:tab w:val="left" w:pos="0"/>
          <w:tab w:val="left" w:pos="862"/>
          <w:tab w:val="left" w:pos="1730"/>
        </w:tabs>
        <w:jc w:val="both"/>
        <w:rPr>
          <w:rFonts w:ascii="Arial" w:hAnsi="Arial" w:cs="Arial"/>
          <w:b/>
          <w:bCs/>
          <w:sz w:val="20"/>
          <w:lang w:val="en-GB"/>
        </w:rPr>
      </w:pPr>
    </w:p>
    <w:p w:rsidR="000433F6" w:rsidRPr="00D440C9" w:rsidRDefault="000433F6" w:rsidP="00AC5595">
      <w:pPr>
        <w:tabs>
          <w:tab w:val="left" w:pos="0"/>
          <w:tab w:val="left" w:pos="862"/>
          <w:tab w:val="left" w:pos="1730"/>
        </w:tabs>
        <w:spacing w:after="120"/>
        <w:jc w:val="both"/>
        <w:rPr>
          <w:rFonts w:ascii="Arial" w:hAnsi="Arial" w:cs="Arial"/>
          <w:b/>
          <w:sz w:val="20"/>
          <w:lang w:val="en-GB"/>
        </w:rPr>
      </w:pPr>
      <w:r w:rsidRPr="00D440C9">
        <w:rPr>
          <w:rFonts w:ascii="Arial" w:hAnsi="Arial" w:cs="Arial"/>
          <w:b/>
          <w:bCs/>
          <w:sz w:val="20"/>
          <w:lang w:val="en-GB"/>
        </w:rPr>
        <w:t xml:space="preserve">Note 2 - </w:t>
      </w:r>
      <w:r w:rsidRPr="00D440C9">
        <w:rPr>
          <w:rFonts w:ascii="Arial" w:hAnsi="Arial" w:cs="Arial"/>
          <w:b/>
          <w:sz w:val="20"/>
          <w:lang w:val="en-GB"/>
        </w:rPr>
        <w:t>Accounting policies</w:t>
      </w:r>
    </w:p>
    <w:p w:rsidR="000433F6" w:rsidRPr="00D440C9" w:rsidRDefault="000433F6" w:rsidP="00821AB3">
      <w:pPr>
        <w:spacing w:after="120"/>
        <w:jc w:val="both"/>
        <w:rPr>
          <w:rFonts w:ascii="Arial" w:hAnsi="Arial" w:cs="Arial"/>
          <w:sz w:val="20"/>
          <w:lang w:val="en-GB"/>
        </w:rPr>
      </w:pPr>
      <w:r w:rsidRPr="00D440C9">
        <w:rPr>
          <w:rFonts w:ascii="Arial" w:hAnsi="Arial" w:cs="Arial"/>
          <w:sz w:val="20"/>
          <w:lang w:val="en-GB"/>
        </w:rPr>
        <w:t xml:space="preserve">Whilst the financial information included in this preliminary announcement has been prepared in accordance with International Financial Reporting Standards (IFRSs) adopted for use in the European Union, this announcement does not itself contain sufficient information to comply with IFRSs.  The company expects to distribute full accounts that comply with IFRSs </w:t>
      </w:r>
      <w:r w:rsidR="0046060B" w:rsidRPr="00D440C9">
        <w:rPr>
          <w:rFonts w:ascii="Arial" w:hAnsi="Arial" w:cs="Arial"/>
          <w:sz w:val="20"/>
          <w:lang w:val="en-GB"/>
        </w:rPr>
        <w:t xml:space="preserve">as adopted by the </w:t>
      </w:r>
      <w:r w:rsidR="0046060B" w:rsidRPr="00DA05C4">
        <w:rPr>
          <w:rFonts w:ascii="Arial" w:hAnsi="Arial" w:cs="Arial"/>
          <w:sz w:val="20"/>
          <w:lang w:val="en-GB"/>
        </w:rPr>
        <w:t xml:space="preserve">EU </w:t>
      </w:r>
      <w:r w:rsidRPr="00DA05C4">
        <w:rPr>
          <w:rFonts w:ascii="Arial" w:hAnsi="Arial" w:cs="Arial"/>
          <w:sz w:val="20"/>
          <w:lang w:val="en-GB"/>
        </w:rPr>
        <w:t xml:space="preserve">on </w:t>
      </w:r>
      <w:r w:rsidR="0056164E" w:rsidRPr="00DA05C4">
        <w:rPr>
          <w:rFonts w:ascii="Arial" w:hAnsi="Arial" w:cs="Arial"/>
          <w:sz w:val="20"/>
          <w:lang w:val="en-GB"/>
        </w:rPr>
        <w:t>2</w:t>
      </w:r>
      <w:r w:rsidR="00DA2F82">
        <w:rPr>
          <w:rFonts w:ascii="Arial" w:hAnsi="Arial" w:cs="Arial"/>
          <w:sz w:val="20"/>
          <w:lang w:val="en-GB"/>
        </w:rPr>
        <w:t>4</w:t>
      </w:r>
      <w:r w:rsidRPr="00DA05C4">
        <w:rPr>
          <w:rFonts w:ascii="Arial" w:hAnsi="Arial" w:cs="Arial"/>
          <w:sz w:val="20"/>
          <w:lang w:val="en-GB"/>
        </w:rPr>
        <w:t xml:space="preserve"> May 20</w:t>
      </w:r>
      <w:r w:rsidR="00D9454D" w:rsidRPr="00DA05C4">
        <w:rPr>
          <w:rFonts w:ascii="Arial" w:hAnsi="Arial" w:cs="Arial"/>
          <w:sz w:val="20"/>
          <w:lang w:val="en-GB"/>
        </w:rPr>
        <w:t>1</w:t>
      </w:r>
      <w:r w:rsidR="00DA2F82">
        <w:rPr>
          <w:rFonts w:ascii="Arial" w:hAnsi="Arial" w:cs="Arial"/>
          <w:sz w:val="20"/>
          <w:lang w:val="en-GB"/>
        </w:rPr>
        <w:t>3</w:t>
      </w:r>
      <w:r w:rsidRPr="00DA05C4">
        <w:rPr>
          <w:rFonts w:ascii="Arial" w:hAnsi="Arial" w:cs="Arial"/>
          <w:sz w:val="20"/>
          <w:lang w:val="en-GB"/>
        </w:rPr>
        <w:t>.</w:t>
      </w:r>
      <w:r w:rsidRPr="00D440C9">
        <w:rPr>
          <w:rFonts w:ascii="Arial" w:hAnsi="Arial" w:cs="Arial"/>
          <w:sz w:val="20"/>
          <w:lang w:val="en-GB"/>
        </w:rPr>
        <w:t xml:space="preserve"> </w:t>
      </w:r>
    </w:p>
    <w:p w:rsidR="000433F6" w:rsidRPr="00D440C9" w:rsidRDefault="000433F6">
      <w:pPr>
        <w:rPr>
          <w:lang w:val="en-GB"/>
        </w:rPr>
      </w:pPr>
    </w:p>
    <w:p w:rsidR="000433F6" w:rsidRPr="00D440C9" w:rsidRDefault="000433F6">
      <w:pPr>
        <w:pStyle w:val="Heading5"/>
        <w:rPr>
          <w:sz w:val="20"/>
        </w:rPr>
      </w:pPr>
      <w:r w:rsidRPr="00D440C9">
        <w:rPr>
          <w:sz w:val="20"/>
        </w:rPr>
        <w:t>Note 3 – Segmental results</w:t>
      </w:r>
    </w:p>
    <w:tbl>
      <w:tblPr>
        <w:tblW w:w="10064" w:type="dxa"/>
        <w:tblInd w:w="108" w:type="dxa"/>
        <w:tblLayout w:type="fixed"/>
        <w:tblLook w:val="04A0" w:firstRow="1" w:lastRow="0" w:firstColumn="1" w:lastColumn="0" w:noHBand="0" w:noVBand="1"/>
      </w:tblPr>
      <w:tblGrid>
        <w:gridCol w:w="2977"/>
        <w:gridCol w:w="567"/>
        <w:gridCol w:w="709"/>
        <w:gridCol w:w="1134"/>
        <w:gridCol w:w="1134"/>
        <w:gridCol w:w="1559"/>
        <w:gridCol w:w="992"/>
        <w:gridCol w:w="992"/>
      </w:tblGrid>
      <w:tr w:rsidR="00BD02D4" w:rsidRPr="00D440C9" w:rsidTr="00BD02D4">
        <w:trPr>
          <w:trHeight w:val="240"/>
        </w:trPr>
        <w:tc>
          <w:tcPr>
            <w:tcW w:w="2977" w:type="dxa"/>
            <w:tcBorders>
              <w:top w:val="nil"/>
              <w:left w:val="nil"/>
              <w:bottom w:val="nil"/>
              <w:right w:val="nil"/>
            </w:tcBorders>
            <w:shd w:val="clear" w:color="auto" w:fill="auto"/>
            <w:noWrap/>
            <w:vAlign w:val="bottom"/>
            <w:hideMark/>
          </w:tcPr>
          <w:p w:rsidR="00BD02D4" w:rsidRPr="00D440C9" w:rsidRDefault="00BD02D4" w:rsidP="00991C20">
            <w:pPr>
              <w:rPr>
                <w:rFonts w:ascii="Arial" w:hAnsi="Arial" w:cs="Arial"/>
                <w:b/>
                <w:bCs/>
                <w:sz w:val="18"/>
                <w:szCs w:val="18"/>
                <w:lang w:val="en-GB" w:eastAsia="en-GB"/>
              </w:rPr>
            </w:pPr>
          </w:p>
        </w:tc>
        <w:tc>
          <w:tcPr>
            <w:tcW w:w="1276" w:type="dxa"/>
            <w:gridSpan w:val="2"/>
            <w:tcBorders>
              <w:top w:val="nil"/>
              <w:left w:val="nil"/>
              <w:bottom w:val="nil"/>
              <w:right w:val="nil"/>
            </w:tcBorders>
            <w:shd w:val="clear" w:color="auto" w:fill="auto"/>
            <w:noWrap/>
            <w:vAlign w:val="bottom"/>
            <w:hideMark/>
          </w:tcPr>
          <w:p w:rsidR="00BD02D4" w:rsidRPr="00D440C9" w:rsidRDefault="00BD02D4" w:rsidP="00991C20">
            <w:pPr>
              <w:jc w:val="right"/>
              <w:rPr>
                <w:rFonts w:ascii="Arial" w:hAnsi="Arial" w:cs="Arial"/>
                <w:b/>
                <w:bCs/>
                <w:sz w:val="18"/>
                <w:szCs w:val="18"/>
                <w:lang w:val="en-GB" w:eastAsia="en-GB"/>
              </w:rPr>
            </w:pPr>
            <w:proofErr w:type="spellStart"/>
            <w:r w:rsidRPr="00D440C9">
              <w:rPr>
                <w:rFonts w:ascii="Arial" w:hAnsi="Arial" w:cs="Arial"/>
                <w:b/>
                <w:bCs/>
                <w:sz w:val="18"/>
                <w:szCs w:val="18"/>
                <w:lang w:val="en-GB" w:eastAsia="en-GB"/>
              </w:rPr>
              <w:t>Shipbroking</w:t>
            </w:r>
            <w:proofErr w:type="spellEnd"/>
          </w:p>
        </w:tc>
        <w:tc>
          <w:tcPr>
            <w:tcW w:w="1134" w:type="dxa"/>
            <w:tcBorders>
              <w:top w:val="nil"/>
              <w:left w:val="nil"/>
              <w:bottom w:val="nil"/>
              <w:right w:val="nil"/>
            </w:tcBorders>
            <w:shd w:val="clear" w:color="auto" w:fill="auto"/>
            <w:vAlign w:val="bottom"/>
            <w:hideMark/>
          </w:tcPr>
          <w:p w:rsidR="00BD02D4" w:rsidRPr="00D440C9" w:rsidRDefault="00BD02D4"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Technical</w:t>
            </w:r>
          </w:p>
        </w:tc>
        <w:tc>
          <w:tcPr>
            <w:tcW w:w="1134" w:type="dxa"/>
            <w:tcBorders>
              <w:top w:val="nil"/>
              <w:left w:val="nil"/>
              <w:bottom w:val="nil"/>
              <w:right w:val="nil"/>
            </w:tcBorders>
            <w:shd w:val="clear" w:color="auto" w:fill="auto"/>
            <w:vAlign w:val="bottom"/>
            <w:hideMark/>
          </w:tcPr>
          <w:p w:rsidR="00BD02D4" w:rsidRPr="00D440C9" w:rsidRDefault="00BD02D4"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Logistics</w:t>
            </w:r>
          </w:p>
        </w:tc>
        <w:tc>
          <w:tcPr>
            <w:tcW w:w="1559" w:type="dxa"/>
            <w:tcBorders>
              <w:top w:val="nil"/>
              <w:left w:val="nil"/>
              <w:bottom w:val="nil"/>
              <w:right w:val="nil"/>
            </w:tcBorders>
            <w:shd w:val="clear" w:color="auto" w:fill="auto"/>
            <w:vAlign w:val="bottom"/>
            <w:hideMark/>
          </w:tcPr>
          <w:p w:rsidR="00BD02D4" w:rsidRPr="00D440C9" w:rsidRDefault="00BD02D4"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Environmental</w:t>
            </w:r>
          </w:p>
        </w:tc>
        <w:tc>
          <w:tcPr>
            <w:tcW w:w="992" w:type="dxa"/>
            <w:tcBorders>
              <w:top w:val="nil"/>
              <w:left w:val="nil"/>
              <w:bottom w:val="nil"/>
              <w:right w:val="nil"/>
            </w:tcBorders>
          </w:tcPr>
          <w:p w:rsidR="00BD02D4" w:rsidRPr="00D440C9" w:rsidRDefault="00BD02D4" w:rsidP="00991C20">
            <w:pPr>
              <w:jc w:val="right"/>
              <w:rPr>
                <w:rFonts w:ascii="Arial" w:hAnsi="Arial" w:cs="Arial"/>
                <w:b/>
                <w:bCs/>
                <w:sz w:val="18"/>
                <w:szCs w:val="18"/>
                <w:lang w:val="en-GB" w:eastAsia="en-GB"/>
              </w:rPr>
            </w:pPr>
            <w:r>
              <w:rPr>
                <w:rFonts w:ascii="Arial" w:hAnsi="Arial" w:cs="Arial"/>
                <w:b/>
                <w:bCs/>
                <w:sz w:val="18"/>
                <w:szCs w:val="18"/>
                <w:lang w:val="en-GB" w:eastAsia="en-GB"/>
              </w:rPr>
              <w:t>Inter-division</w:t>
            </w:r>
          </w:p>
        </w:tc>
        <w:tc>
          <w:tcPr>
            <w:tcW w:w="992" w:type="dxa"/>
            <w:tcBorders>
              <w:top w:val="nil"/>
              <w:left w:val="nil"/>
              <w:bottom w:val="nil"/>
              <w:right w:val="nil"/>
            </w:tcBorders>
            <w:shd w:val="clear" w:color="auto" w:fill="auto"/>
            <w:vAlign w:val="bottom"/>
            <w:hideMark/>
          </w:tcPr>
          <w:p w:rsidR="00BD02D4" w:rsidRPr="00D440C9" w:rsidRDefault="00BD02D4"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Total</w:t>
            </w:r>
          </w:p>
        </w:tc>
      </w:tr>
      <w:tr w:rsidR="00BD02D4" w:rsidRPr="00D440C9" w:rsidTr="00BD02D4">
        <w:trPr>
          <w:trHeight w:val="255"/>
        </w:trPr>
        <w:tc>
          <w:tcPr>
            <w:tcW w:w="2977" w:type="dxa"/>
            <w:tcBorders>
              <w:top w:val="nil"/>
              <w:left w:val="nil"/>
              <w:bottom w:val="single" w:sz="8" w:space="0" w:color="auto"/>
              <w:right w:val="nil"/>
            </w:tcBorders>
            <w:shd w:val="clear" w:color="auto" w:fill="auto"/>
            <w:vAlign w:val="bottom"/>
            <w:hideMark/>
          </w:tcPr>
          <w:p w:rsidR="00BD02D4" w:rsidRPr="00D440C9" w:rsidRDefault="00BD02D4" w:rsidP="00BD02D4">
            <w:pPr>
              <w:rPr>
                <w:rFonts w:ascii="Arial" w:hAnsi="Arial" w:cs="Arial"/>
                <w:b/>
                <w:bCs/>
                <w:sz w:val="18"/>
                <w:szCs w:val="18"/>
                <w:lang w:val="en-GB" w:eastAsia="en-GB"/>
              </w:rPr>
            </w:pPr>
            <w:r w:rsidRPr="00D440C9">
              <w:rPr>
                <w:rFonts w:ascii="Arial" w:hAnsi="Arial" w:cs="Arial"/>
                <w:b/>
                <w:bCs/>
                <w:sz w:val="18"/>
                <w:szCs w:val="18"/>
                <w:lang w:val="en-GB" w:eastAsia="en-GB"/>
              </w:rPr>
              <w:t>201</w:t>
            </w:r>
            <w:r w:rsidR="00CB431C">
              <w:rPr>
                <w:rFonts w:ascii="Arial" w:hAnsi="Arial" w:cs="Arial"/>
                <w:b/>
                <w:bCs/>
                <w:sz w:val="18"/>
                <w:szCs w:val="18"/>
                <w:lang w:val="en-GB" w:eastAsia="en-GB"/>
              </w:rPr>
              <w:t>3</w:t>
            </w:r>
          </w:p>
        </w:tc>
        <w:tc>
          <w:tcPr>
            <w:tcW w:w="1276" w:type="dxa"/>
            <w:gridSpan w:val="2"/>
            <w:tcBorders>
              <w:top w:val="nil"/>
              <w:left w:val="nil"/>
              <w:bottom w:val="single" w:sz="8" w:space="0" w:color="auto"/>
              <w:right w:val="nil"/>
            </w:tcBorders>
            <w:shd w:val="clear" w:color="auto" w:fill="auto"/>
            <w:noWrap/>
            <w:vAlign w:val="bottom"/>
            <w:hideMark/>
          </w:tcPr>
          <w:p w:rsidR="00BD02D4" w:rsidRPr="00D440C9" w:rsidRDefault="00BD02D4"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£'000</w:t>
            </w:r>
          </w:p>
        </w:tc>
        <w:tc>
          <w:tcPr>
            <w:tcW w:w="1134" w:type="dxa"/>
            <w:tcBorders>
              <w:top w:val="nil"/>
              <w:left w:val="nil"/>
              <w:bottom w:val="single" w:sz="8" w:space="0" w:color="auto"/>
              <w:right w:val="nil"/>
            </w:tcBorders>
            <w:shd w:val="clear" w:color="auto" w:fill="auto"/>
            <w:noWrap/>
            <w:vAlign w:val="bottom"/>
            <w:hideMark/>
          </w:tcPr>
          <w:p w:rsidR="00BD02D4" w:rsidRPr="00D440C9" w:rsidRDefault="00BD02D4"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£'000</w:t>
            </w:r>
          </w:p>
        </w:tc>
        <w:tc>
          <w:tcPr>
            <w:tcW w:w="1134" w:type="dxa"/>
            <w:tcBorders>
              <w:top w:val="nil"/>
              <w:left w:val="nil"/>
              <w:bottom w:val="single" w:sz="8" w:space="0" w:color="auto"/>
              <w:right w:val="nil"/>
            </w:tcBorders>
            <w:shd w:val="clear" w:color="auto" w:fill="auto"/>
            <w:noWrap/>
            <w:vAlign w:val="bottom"/>
            <w:hideMark/>
          </w:tcPr>
          <w:p w:rsidR="00BD02D4" w:rsidRPr="00D440C9" w:rsidRDefault="00BD02D4"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£'000</w:t>
            </w:r>
          </w:p>
        </w:tc>
        <w:tc>
          <w:tcPr>
            <w:tcW w:w="1559" w:type="dxa"/>
            <w:tcBorders>
              <w:top w:val="nil"/>
              <w:left w:val="nil"/>
              <w:bottom w:val="single" w:sz="8" w:space="0" w:color="auto"/>
              <w:right w:val="nil"/>
            </w:tcBorders>
            <w:shd w:val="clear" w:color="auto" w:fill="auto"/>
            <w:noWrap/>
            <w:vAlign w:val="bottom"/>
            <w:hideMark/>
          </w:tcPr>
          <w:p w:rsidR="00BD02D4" w:rsidRPr="00D440C9" w:rsidRDefault="00BD02D4"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£'000</w:t>
            </w:r>
          </w:p>
        </w:tc>
        <w:tc>
          <w:tcPr>
            <w:tcW w:w="992" w:type="dxa"/>
            <w:tcBorders>
              <w:top w:val="nil"/>
              <w:left w:val="nil"/>
              <w:bottom w:val="single" w:sz="8" w:space="0" w:color="auto"/>
              <w:right w:val="nil"/>
            </w:tcBorders>
          </w:tcPr>
          <w:p w:rsidR="00BD02D4" w:rsidRPr="00D440C9" w:rsidRDefault="00BD02D4"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£'000</w:t>
            </w:r>
          </w:p>
        </w:tc>
        <w:tc>
          <w:tcPr>
            <w:tcW w:w="992" w:type="dxa"/>
            <w:tcBorders>
              <w:top w:val="nil"/>
              <w:left w:val="nil"/>
              <w:bottom w:val="single" w:sz="8" w:space="0" w:color="auto"/>
              <w:right w:val="nil"/>
            </w:tcBorders>
            <w:shd w:val="clear" w:color="auto" w:fill="auto"/>
            <w:noWrap/>
            <w:vAlign w:val="bottom"/>
            <w:hideMark/>
          </w:tcPr>
          <w:p w:rsidR="00BD02D4" w:rsidRPr="00D440C9" w:rsidRDefault="00BD02D4"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£'000</w:t>
            </w:r>
          </w:p>
        </w:tc>
      </w:tr>
      <w:tr w:rsidR="00CB431C" w:rsidRPr="00D440C9" w:rsidTr="00DD7978">
        <w:trPr>
          <w:trHeight w:val="240"/>
        </w:trPr>
        <w:tc>
          <w:tcPr>
            <w:tcW w:w="2977" w:type="dxa"/>
            <w:tcBorders>
              <w:top w:val="nil"/>
              <w:left w:val="nil"/>
              <w:bottom w:val="single" w:sz="4" w:space="0" w:color="auto"/>
              <w:right w:val="nil"/>
            </w:tcBorders>
            <w:shd w:val="clear" w:color="auto" w:fill="auto"/>
            <w:noWrap/>
            <w:hideMark/>
          </w:tcPr>
          <w:p w:rsidR="00CB431C" w:rsidRPr="005A62C5" w:rsidRDefault="00CB431C" w:rsidP="00DD7978">
            <w:pPr>
              <w:pStyle w:val="00Bodynospace"/>
              <w:rPr>
                <w:b/>
              </w:rPr>
            </w:pPr>
            <w:r w:rsidRPr="005A62C5">
              <w:rPr>
                <w:b/>
              </w:rPr>
              <w:t>Revenue</w:t>
            </w:r>
          </w:p>
        </w:tc>
        <w:tc>
          <w:tcPr>
            <w:tcW w:w="1276" w:type="dxa"/>
            <w:gridSpan w:val="2"/>
            <w:tcBorders>
              <w:top w:val="nil"/>
              <w:left w:val="nil"/>
              <w:bottom w:val="single" w:sz="4" w:space="0" w:color="auto"/>
              <w:right w:val="nil"/>
            </w:tcBorders>
            <w:shd w:val="clear" w:color="auto" w:fill="auto"/>
            <w:noWrap/>
            <w:vAlign w:val="bottom"/>
            <w:hideMark/>
          </w:tcPr>
          <w:p w:rsidR="00CB431C" w:rsidRPr="00CF23C5" w:rsidRDefault="00CB431C" w:rsidP="00DD7978">
            <w:pPr>
              <w:jc w:val="right"/>
              <w:rPr>
                <w:rFonts w:ascii="Arial" w:hAnsi="Arial" w:cs="Arial"/>
                <w:bCs/>
                <w:sz w:val="18"/>
                <w:szCs w:val="18"/>
              </w:rPr>
            </w:pPr>
            <w:r w:rsidRPr="00CF23C5">
              <w:rPr>
                <w:rFonts w:ascii="Arial" w:hAnsi="Arial" w:cs="Arial"/>
                <w:bCs/>
                <w:sz w:val="18"/>
                <w:szCs w:val="18"/>
              </w:rPr>
              <w:t>46,362</w:t>
            </w:r>
          </w:p>
        </w:tc>
        <w:tc>
          <w:tcPr>
            <w:tcW w:w="1134" w:type="dxa"/>
            <w:tcBorders>
              <w:top w:val="nil"/>
              <w:left w:val="nil"/>
              <w:bottom w:val="single" w:sz="4" w:space="0" w:color="auto"/>
              <w:right w:val="nil"/>
            </w:tcBorders>
            <w:shd w:val="clear" w:color="auto" w:fill="auto"/>
            <w:noWrap/>
            <w:vAlign w:val="bottom"/>
            <w:hideMark/>
          </w:tcPr>
          <w:p w:rsidR="00CB431C" w:rsidRPr="00CF23C5" w:rsidRDefault="00CB431C" w:rsidP="00DD7978">
            <w:pPr>
              <w:jc w:val="right"/>
              <w:rPr>
                <w:rFonts w:ascii="Arial" w:hAnsi="Arial" w:cs="Arial"/>
                <w:bCs/>
                <w:sz w:val="18"/>
                <w:szCs w:val="18"/>
              </w:rPr>
            </w:pPr>
            <w:r w:rsidRPr="00CF23C5">
              <w:rPr>
                <w:rFonts w:ascii="Arial" w:hAnsi="Arial" w:cs="Arial"/>
                <w:bCs/>
                <w:sz w:val="18"/>
                <w:szCs w:val="18"/>
              </w:rPr>
              <w:t>36,778</w:t>
            </w:r>
          </w:p>
        </w:tc>
        <w:tc>
          <w:tcPr>
            <w:tcW w:w="1134" w:type="dxa"/>
            <w:tcBorders>
              <w:top w:val="nil"/>
              <w:left w:val="nil"/>
              <w:bottom w:val="single" w:sz="4" w:space="0" w:color="auto"/>
              <w:right w:val="nil"/>
            </w:tcBorders>
            <w:shd w:val="clear" w:color="auto" w:fill="auto"/>
            <w:noWrap/>
            <w:vAlign w:val="bottom"/>
            <w:hideMark/>
          </w:tcPr>
          <w:p w:rsidR="00CB431C" w:rsidRPr="00CF23C5" w:rsidRDefault="00CB431C" w:rsidP="00DD7978">
            <w:pPr>
              <w:jc w:val="right"/>
              <w:rPr>
                <w:rFonts w:ascii="Arial" w:hAnsi="Arial" w:cs="Arial"/>
                <w:bCs/>
                <w:sz w:val="18"/>
                <w:szCs w:val="18"/>
              </w:rPr>
            </w:pPr>
            <w:r w:rsidRPr="00CF23C5">
              <w:rPr>
                <w:rFonts w:ascii="Arial" w:hAnsi="Arial" w:cs="Arial"/>
                <w:bCs/>
                <w:sz w:val="18"/>
                <w:szCs w:val="18"/>
              </w:rPr>
              <w:t>37,495</w:t>
            </w:r>
          </w:p>
        </w:tc>
        <w:tc>
          <w:tcPr>
            <w:tcW w:w="1559" w:type="dxa"/>
            <w:tcBorders>
              <w:top w:val="nil"/>
              <w:left w:val="nil"/>
              <w:bottom w:val="single" w:sz="4" w:space="0" w:color="auto"/>
              <w:right w:val="nil"/>
            </w:tcBorders>
            <w:shd w:val="clear" w:color="auto" w:fill="auto"/>
            <w:noWrap/>
            <w:vAlign w:val="bottom"/>
            <w:hideMark/>
          </w:tcPr>
          <w:p w:rsidR="00CB431C" w:rsidRPr="00CF23C5" w:rsidRDefault="00CB431C" w:rsidP="00DD7978">
            <w:pPr>
              <w:jc w:val="right"/>
              <w:rPr>
                <w:rFonts w:ascii="Arial" w:hAnsi="Arial" w:cs="Arial"/>
                <w:bCs/>
                <w:sz w:val="18"/>
                <w:szCs w:val="18"/>
              </w:rPr>
            </w:pPr>
            <w:r w:rsidRPr="00CF23C5">
              <w:rPr>
                <w:rFonts w:ascii="Arial" w:hAnsi="Arial" w:cs="Arial"/>
                <w:bCs/>
                <w:sz w:val="18"/>
                <w:szCs w:val="18"/>
              </w:rPr>
              <w:t>23,399</w:t>
            </w:r>
          </w:p>
        </w:tc>
        <w:tc>
          <w:tcPr>
            <w:tcW w:w="992" w:type="dxa"/>
            <w:tcBorders>
              <w:top w:val="nil"/>
              <w:left w:val="nil"/>
              <w:bottom w:val="single" w:sz="4" w:space="0" w:color="auto"/>
              <w:right w:val="nil"/>
            </w:tcBorders>
            <w:vAlign w:val="bottom"/>
          </w:tcPr>
          <w:p w:rsidR="00CB431C" w:rsidRPr="00CF23C5" w:rsidRDefault="00CB431C" w:rsidP="00DD7978">
            <w:pPr>
              <w:jc w:val="right"/>
              <w:rPr>
                <w:rFonts w:ascii="Arial" w:hAnsi="Arial" w:cs="Arial"/>
                <w:bCs/>
                <w:sz w:val="18"/>
                <w:szCs w:val="18"/>
              </w:rPr>
            </w:pPr>
            <w:r w:rsidRPr="00CF23C5">
              <w:rPr>
                <w:rFonts w:ascii="Arial" w:hAnsi="Arial" w:cs="Arial"/>
                <w:bCs/>
                <w:sz w:val="18"/>
                <w:szCs w:val="18"/>
              </w:rPr>
              <w:t>(260)</w:t>
            </w:r>
          </w:p>
        </w:tc>
        <w:tc>
          <w:tcPr>
            <w:tcW w:w="992" w:type="dxa"/>
            <w:tcBorders>
              <w:top w:val="nil"/>
              <w:left w:val="nil"/>
              <w:bottom w:val="single" w:sz="4" w:space="0" w:color="auto"/>
              <w:right w:val="nil"/>
            </w:tcBorders>
            <w:shd w:val="clear" w:color="auto" w:fill="auto"/>
            <w:noWrap/>
            <w:vAlign w:val="bottom"/>
            <w:hideMark/>
          </w:tcPr>
          <w:p w:rsidR="00CB431C" w:rsidRDefault="00CB431C" w:rsidP="00DD7978">
            <w:pPr>
              <w:jc w:val="right"/>
              <w:rPr>
                <w:rFonts w:ascii="Arial" w:hAnsi="Arial" w:cs="Arial"/>
                <w:b/>
                <w:bCs/>
                <w:sz w:val="18"/>
                <w:szCs w:val="18"/>
              </w:rPr>
            </w:pPr>
            <w:r>
              <w:rPr>
                <w:rFonts w:ascii="Arial" w:hAnsi="Arial" w:cs="Arial"/>
                <w:b/>
                <w:bCs/>
                <w:sz w:val="18"/>
                <w:szCs w:val="18"/>
              </w:rPr>
              <w:t>143,774</w:t>
            </w:r>
          </w:p>
        </w:tc>
      </w:tr>
      <w:tr w:rsidR="00CB431C" w:rsidRPr="00D440C9" w:rsidTr="00DD7978">
        <w:trPr>
          <w:trHeight w:val="240"/>
        </w:trPr>
        <w:tc>
          <w:tcPr>
            <w:tcW w:w="2977" w:type="dxa"/>
            <w:tcBorders>
              <w:top w:val="nil"/>
              <w:left w:val="nil"/>
              <w:bottom w:val="nil"/>
              <w:right w:val="nil"/>
            </w:tcBorders>
            <w:shd w:val="clear" w:color="auto" w:fill="auto"/>
            <w:noWrap/>
            <w:hideMark/>
          </w:tcPr>
          <w:p w:rsidR="00CB431C" w:rsidRPr="00CE45CA" w:rsidRDefault="00CB431C" w:rsidP="00DD7978">
            <w:pPr>
              <w:pStyle w:val="00Bodynospace"/>
            </w:pPr>
          </w:p>
        </w:tc>
        <w:tc>
          <w:tcPr>
            <w:tcW w:w="1276" w:type="dxa"/>
            <w:gridSpan w:val="2"/>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 </w:t>
            </w:r>
          </w:p>
        </w:tc>
        <w:tc>
          <w:tcPr>
            <w:tcW w:w="1134" w:type="dxa"/>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 </w:t>
            </w:r>
          </w:p>
        </w:tc>
        <w:tc>
          <w:tcPr>
            <w:tcW w:w="1134" w:type="dxa"/>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 </w:t>
            </w:r>
          </w:p>
        </w:tc>
        <w:tc>
          <w:tcPr>
            <w:tcW w:w="1559" w:type="dxa"/>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 </w:t>
            </w:r>
          </w:p>
        </w:tc>
        <w:tc>
          <w:tcPr>
            <w:tcW w:w="992" w:type="dxa"/>
            <w:tcBorders>
              <w:top w:val="nil"/>
              <w:left w:val="nil"/>
              <w:bottom w:val="nil"/>
              <w:right w:val="nil"/>
            </w:tcBorders>
            <w:vAlign w:val="bottom"/>
          </w:tcPr>
          <w:p w:rsidR="00CB431C" w:rsidRDefault="00CB431C" w:rsidP="00DD7978">
            <w:pPr>
              <w:jc w:val="right"/>
              <w:rPr>
                <w:rFonts w:ascii="Arial" w:hAnsi="Arial" w:cs="Arial"/>
                <w:sz w:val="18"/>
                <w:szCs w:val="18"/>
              </w:rPr>
            </w:pPr>
            <w:r>
              <w:rPr>
                <w:rFonts w:ascii="Arial" w:hAnsi="Arial" w:cs="Arial"/>
                <w:sz w:val="18"/>
                <w:szCs w:val="18"/>
              </w:rPr>
              <w:t> </w:t>
            </w:r>
          </w:p>
        </w:tc>
        <w:tc>
          <w:tcPr>
            <w:tcW w:w="992" w:type="dxa"/>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 </w:t>
            </w:r>
          </w:p>
        </w:tc>
      </w:tr>
      <w:tr w:rsidR="00CB431C" w:rsidRPr="00D440C9" w:rsidTr="00DD7978">
        <w:trPr>
          <w:trHeight w:val="204"/>
        </w:trPr>
        <w:tc>
          <w:tcPr>
            <w:tcW w:w="2977" w:type="dxa"/>
            <w:tcBorders>
              <w:top w:val="nil"/>
              <w:left w:val="nil"/>
              <w:bottom w:val="nil"/>
              <w:right w:val="nil"/>
            </w:tcBorders>
            <w:shd w:val="clear" w:color="auto" w:fill="auto"/>
            <w:hideMark/>
          </w:tcPr>
          <w:p w:rsidR="00CB431C" w:rsidRPr="00CE45CA" w:rsidRDefault="00CB431C" w:rsidP="00DD7978">
            <w:pPr>
              <w:pStyle w:val="00Bodynospace"/>
            </w:pPr>
            <w:r w:rsidRPr="00CE45CA">
              <w:t>Divisional operating profit</w:t>
            </w:r>
          </w:p>
        </w:tc>
        <w:tc>
          <w:tcPr>
            <w:tcW w:w="1276" w:type="dxa"/>
            <w:gridSpan w:val="2"/>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5,348</w:t>
            </w:r>
          </w:p>
        </w:tc>
        <w:tc>
          <w:tcPr>
            <w:tcW w:w="1134" w:type="dxa"/>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3,437</w:t>
            </w:r>
          </w:p>
        </w:tc>
        <w:tc>
          <w:tcPr>
            <w:tcW w:w="1134" w:type="dxa"/>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2,006</w:t>
            </w:r>
          </w:p>
        </w:tc>
        <w:tc>
          <w:tcPr>
            <w:tcW w:w="1559" w:type="dxa"/>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2,681</w:t>
            </w:r>
          </w:p>
        </w:tc>
        <w:tc>
          <w:tcPr>
            <w:tcW w:w="992" w:type="dxa"/>
            <w:tcBorders>
              <w:top w:val="nil"/>
              <w:left w:val="nil"/>
              <w:bottom w:val="nil"/>
              <w:right w:val="nil"/>
            </w:tcBorders>
            <w:vAlign w:val="bottom"/>
          </w:tcPr>
          <w:p w:rsidR="00CB431C" w:rsidRDefault="00CB431C" w:rsidP="00DD7978">
            <w:pPr>
              <w:jc w:val="right"/>
              <w:rPr>
                <w:rFonts w:ascii="Arial" w:hAnsi="Arial" w:cs="Arial"/>
                <w:sz w:val="18"/>
                <w:szCs w:val="18"/>
              </w:rPr>
            </w:pPr>
            <w:r>
              <w:rPr>
                <w:rFonts w:ascii="Arial" w:hAnsi="Arial" w:cs="Arial"/>
                <w:sz w:val="18"/>
                <w:szCs w:val="18"/>
              </w:rPr>
              <w:t>-</w:t>
            </w:r>
          </w:p>
        </w:tc>
        <w:tc>
          <w:tcPr>
            <w:tcW w:w="992" w:type="dxa"/>
            <w:tcBorders>
              <w:top w:val="nil"/>
              <w:left w:val="nil"/>
              <w:bottom w:val="nil"/>
              <w:right w:val="nil"/>
            </w:tcBorders>
            <w:shd w:val="clear" w:color="auto" w:fill="auto"/>
            <w:noWrap/>
            <w:vAlign w:val="bottom"/>
            <w:hideMark/>
          </w:tcPr>
          <w:p w:rsidR="00CB431C" w:rsidRPr="0023411B" w:rsidRDefault="00CB431C" w:rsidP="00DD7978">
            <w:pPr>
              <w:jc w:val="right"/>
              <w:rPr>
                <w:rFonts w:ascii="Arial" w:hAnsi="Arial" w:cs="Arial"/>
                <w:b/>
                <w:sz w:val="18"/>
                <w:szCs w:val="18"/>
              </w:rPr>
            </w:pPr>
            <w:r w:rsidRPr="0023411B">
              <w:rPr>
                <w:rFonts w:ascii="Arial" w:hAnsi="Arial" w:cs="Arial"/>
                <w:b/>
                <w:sz w:val="18"/>
                <w:szCs w:val="18"/>
              </w:rPr>
              <w:t>13,472</w:t>
            </w:r>
          </w:p>
        </w:tc>
      </w:tr>
      <w:tr w:rsidR="00CB431C" w:rsidRPr="00D440C9" w:rsidTr="00D77056">
        <w:trPr>
          <w:trHeight w:val="204"/>
        </w:trPr>
        <w:tc>
          <w:tcPr>
            <w:tcW w:w="2977" w:type="dxa"/>
            <w:tcBorders>
              <w:top w:val="nil"/>
              <w:left w:val="nil"/>
              <w:bottom w:val="nil"/>
              <w:right w:val="nil"/>
            </w:tcBorders>
            <w:shd w:val="clear" w:color="auto" w:fill="auto"/>
            <w:vAlign w:val="bottom"/>
          </w:tcPr>
          <w:p w:rsidR="00CB431C" w:rsidRPr="00CE45CA" w:rsidRDefault="00CB431C" w:rsidP="00D77056">
            <w:pPr>
              <w:pStyle w:val="00Bodynospace"/>
            </w:pPr>
            <w:r w:rsidRPr="00CE45CA">
              <w:t>Amortisation of other intangible assets</w:t>
            </w:r>
          </w:p>
        </w:tc>
        <w:tc>
          <w:tcPr>
            <w:tcW w:w="1276" w:type="dxa"/>
            <w:gridSpan w:val="2"/>
            <w:tcBorders>
              <w:top w:val="nil"/>
              <w:left w:val="nil"/>
              <w:bottom w:val="nil"/>
              <w:right w:val="nil"/>
            </w:tcBorders>
            <w:shd w:val="clear" w:color="auto" w:fill="auto"/>
            <w:noWrap/>
            <w:vAlign w:val="bottom"/>
          </w:tcPr>
          <w:p w:rsidR="00CB431C" w:rsidRDefault="00CB431C" w:rsidP="00D77056">
            <w:pPr>
              <w:jc w:val="right"/>
              <w:rPr>
                <w:rFonts w:ascii="Arial" w:hAnsi="Arial" w:cs="Arial"/>
                <w:sz w:val="18"/>
                <w:szCs w:val="18"/>
              </w:rPr>
            </w:pPr>
            <w:r>
              <w:rPr>
                <w:rFonts w:ascii="Arial" w:hAnsi="Arial" w:cs="Arial"/>
                <w:sz w:val="18"/>
                <w:szCs w:val="18"/>
              </w:rPr>
              <w:t>(709)</w:t>
            </w:r>
          </w:p>
        </w:tc>
        <w:tc>
          <w:tcPr>
            <w:tcW w:w="1134" w:type="dxa"/>
            <w:tcBorders>
              <w:top w:val="nil"/>
              <w:left w:val="nil"/>
              <w:bottom w:val="nil"/>
              <w:right w:val="nil"/>
            </w:tcBorders>
            <w:shd w:val="clear" w:color="auto" w:fill="auto"/>
            <w:noWrap/>
            <w:vAlign w:val="bottom"/>
          </w:tcPr>
          <w:p w:rsidR="00CB431C" w:rsidRDefault="00CB431C" w:rsidP="00D77056">
            <w:pPr>
              <w:jc w:val="right"/>
              <w:rPr>
                <w:rFonts w:ascii="Arial" w:hAnsi="Arial" w:cs="Arial"/>
                <w:sz w:val="18"/>
                <w:szCs w:val="18"/>
              </w:rPr>
            </w:pPr>
            <w:r>
              <w:rPr>
                <w:rFonts w:ascii="Arial" w:hAnsi="Arial" w:cs="Arial"/>
                <w:sz w:val="18"/>
                <w:szCs w:val="18"/>
              </w:rPr>
              <w:t>(684)</w:t>
            </w:r>
          </w:p>
        </w:tc>
        <w:tc>
          <w:tcPr>
            <w:tcW w:w="1134" w:type="dxa"/>
            <w:tcBorders>
              <w:top w:val="nil"/>
              <w:left w:val="nil"/>
              <w:bottom w:val="nil"/>
              <w:right w:val="nil"/>
            </w:tcBorders>
            <w:shd w:val="clear" w:color="auto" w:fill="auto"/>
            <w:noWrap/>
            <w:vAlign w:val="bottom"/>
          </w:tcPr>
          <w:p w:rsidR="00CB431C" w:rsidRDefault="00CB431C" w:rsidP="00D77056">
            <w:pPr>
              <w:jc w:val="right"/>
              <w:rPr>
                <w:rFonts w:ascii="Arial" w:hAnsi="Arial" w:cs="Arial"/>
                <w:sz w:val="18"/>
                <w:szCs w:val="18"/>
              </w:rPr>
            </w:pPr>
            <w:r>
              <w:rPr>
                <w:rFonts w:ascii="Arial" w:hAnsi="Arial" w:cs="Arial"/>
                <w:sz w:val="18"/>
                <w:szCs w:val="18"/>
              </w:rPr>
              <w:t>(145)</w:t>
            </w:r>
          </w:p>
        </w:tc>
        <w:tc>
          <w:tcPr>
            <w:tcW w:w="1559" w:type="dxa"/>
            <w:tcBorders>
              <w:top w:val="nil"/>
              <w:left w:val="nil"/>
              <w:bottom w:val="nil"/>
              <w:right w:val="nil"/>
            </w:tcBorders>
            <w:shd w:val="clear" w:color="auto" w:fill="auto"/>
            <w:noWrap/>
            <w:vAlign w:val="bottom"/>
          </w:tcPr>
          <w:p w:rsidR="00CB431C" w:rsidRDefault="00CB431C" w:rsidP="00D77056">
            <w:pPr>
              <w:jc w:val="right"/>
              <w:rPr>
                <w:rFonts w:ascii="Arial" w:hAnsi="Arial" w:cs="Arial"/>
                <w:sz w:val="18"/>
                <w:szCs w:val="18"/>
              </w:rPr>
            </w:pPr>
            <w:r>
              <w:rPr>
                <w:rFonts w:ascii="Arial" w:hAnsi="Arial" w:cs="Arial"/>
                <w:sz w:val="18"/>
                <w:szCs w:val="18"/>
              </w:rPr>
              <w:t>-</w:t>
            </w:r>
          </w:p>
        </w:tc>
        <w:tc>
          <w:tcPr>
            <w:tcW w:w="992" w:type="dxa"/>
            <w:tcBorders>
              <w:top w:val="nil"/>
              <w:left w:val="nil"/>
              <w:bottom w:val="nil"/>
              <w:right w:val="nil"/>
            </w:tcBorders>
            <w:vAlign w:val="bottom"/>
          </w:tcPr>
          <w:p w:rsidR="00CB431C" w:rsidRDefault="00CB431C" w:rsidP="00D77056">
            <w:pPr>
              <w:jc w:val="right"/>
              <w:rPr>
                <w:rFonts w:ascii="Arial" w:hAnsi="Arial" w:cs="Arial"/>
                <w:sz w:val="18"/>
                <w:szCs w:val="18"/>
              </w:rPr>
            </w:pPr>
            <w:r>
              <w:rPr>
                <w:rFonts w:ascii="Arial" w:hAnsi="Arial" w:cs="Arial"/>
                <w:sz w:val="18"/>
                <w:szCs w:val="18"/>
              </w:rPr>
              <w:t>-</w:t>
            </w:r>
          </w:p>
        </w:tc>
        <w:tc>
          <w:tcPr>
            <w:tcW w:w="992" w:type="dxa"/>
            <w:tcBorders>
              <w:top w:val="nil"/>
              <w:left w:val="nil"/>
              <w:bottom w:val="nil"/>
              <w:right w:val="nil"/>
            </w:tcBorders>
            <w:shd w:val="clear" w:color="auto" w:fill="auto"/>
            <w:noWrap/>
            <w:vAlign w:val="bottom"/>
          </w:tcPr>
          <w:p w:rsidR="00CB431C" w:rsidRPr="0023411B" w:rsidRDefault="00CB431C" w:rsidP="00D77056">
            <w:pPr>
              <w:jc w:val="right"/>
              <w:rPr>
                <w:rFonts w:ascii="Arial" w:hAnsi="Arial" w:cs="Arial"/>
                <w:b/>
                <w:sz w:val="18"/>
                <w:szCs w:val="18"/>
              </w:rPr>
            </w:pPr>
            <w:r w:rsidRPr="0023411B">
              <w:rPr>
                <w:rFonts w:ascii="Arial" w:hAnsi="Arial" w:cs="Arial"/>
                <w:b/>
                <w:sz w:val="18"/>
                <w:szCs w:val="18"/>
              </w:rPr>
              <w:t>(1,538)</w:t>
            </w:r>
          </w:p>
        </w:tc>
      </w:tr>
      <w:tr w:rsidR="00D77056" w:rsidRPr="00D440C9" w:rsidTr="00D77056">
        <w:trPr>
          <w:trHeight w:val="255"/>
        </w:trPr>
        <w:tc>
          <w:tcPr>
            <w:tcW w:w="2977" w:type="dxa"/>
            <w:tcBorders>
              <w:top w:val="single" w:sz="4" w:space="0" w:color="auto"/>
              <w:left w:val="nil"/>
              <w:bottom w:val="single" w:sz="8" w:space="0" w:color="auto"/>
              <w:right w:val="nil"/>
            </w:tcBorders>
            <w:shd w:val="clear" w:color="auto" w:fill="auto"/>
            <w:noWrap/>
            <w:vAlign w:val="bottom"/>
            <w:hideMark/>
          </w:tcPr>
          <w:p w:rsidR="00D77056" w:rsidRPr="00CE45CA" w:rsidRDefault="00D77056" w:rsidP="00D77056">
            <w:pPr>
              <w:pStyle w:val="00Bodynospace"/>
            </w:pPr>
            <w:r w:rsidRPr="00CE45CA">
              <w:t>Segment result</w:t>
            </w:r>
          </w:p>
        </w:tc>
        <w:tc>
          <w:tcPr>
            <w:tcW w:w="1276" w:type="dxa"/>
            <w:gridSpan w:val="2"/>
            <w:tcBorders>
              <w:top w:val="single" w:sz="4" w:space="0" w:color="auto"/>
              <w:left w:val="nil"/>
              <w:bottom w:val="single" w:sz="8" w:space="0" w:color="auto"/>
              <w:right w:val="nil"/>
            </w:tcBorders>
            <w:shd w:val="clear" w:color="auto" w:fill="auto"/>
            <w:noWrap/>
            <w:vAlign w:val="bottom"/>
            <w:hideMark/>
          </w:tcPr>
          <w:p w:rsidR="00D77056" w:rsidRPr="00CF23C5" w:rsidRDefault="00D77056" w:rsidP="00D77056">
            <w:pPr>
              <w:jc w:val="right"/>
              <w:rPr>
                <w:rFonts w:ascii="Arial" w:hAnsi="Arial" w:cs="Arial"/>
                <w:bCs/>
                <w:sz w:val="18"/>
                <w:szCs w:val="18"/>
              </w:rPr>
            </w:pPr>
            <w:r w:rsidRPr="00CF23C5">
              <w:rPr>
                <w:rFonts w:ascii="Arial" w:hAnsi="Arial" w:cs="Arial"/>
                <w:bCs/>
                <w:sz w:val="18"/>
                <w:szCs w:val="18"/>
              </w:rPr>
              <w:t>4,639</w:t>
            </w:r>
          </w:p>
        </w:tc>
        <w:tc>
          <w:tcPr>
            <w:tcW w:w="1134" w:type="dxa"/>
            <w:tcBorders>
              <w:top w:val="single" w:sz="4" w:space="0" w:color="auto"/>
              <w:left w:val="nil"/>
              <w:bottom w:val="single" w:sz="8" w:space="0" w:color="auto"/>
              <w:right w:val="nil"/>
            </w:tcBorders>
            <w:shd w:val="clear" w:color="auto" w:fill="auto"/>
            <w:noWrap/>
            <w:vAlign w:val="bottom"/>
            <w:hideMark/>
          </w:tcPr>
          <w:p w:rsidR="00D77056" w:rsidRPr="00CF23C5" w:rsidRDefault="00D77056" w:rsidP="00D77056">
            <w:pPr>
              <w:jc w:val="right"/>
              <w:rPr>
                <w:rFonts w:ascii="Arial" w:hAnsi="Arial" w:cs="Arial"/>
                <w:bCs/>
                <w:sz w:val="18"/>
                <w:szCs w:val="18"/>
              </w:rPr>
            </w:pPr>
            <w:r w:rsidRPr="00CF23C5">
              <w:rPr>
                <w:rFonts w:ascii="Arial" w:hAnsi="Arial" w:cs="Arial"/>
                <w:bCs/>
                <w:sz w:val="18"/>
                <w:szCs w:val="18"/>
              </w:rPr>
              <w:t>2,753</w:t>
            </w:r>
          </w:p>
        </w:tc>
        <w:tc>
          <w:tcPr>
            <w:tcW w:w="1134" w:type="dxa"/>
            <w:tcBorders>
              <w:top w:val="single" w:sz="4" w:space="0" w:color="auto"/>
              <w:left w:val="nil"/>
              <w:bottom w:val="single" w:sz="8" w:space="0" w:color="auto"/>
              <w:right w:val="nil"/>
            </w:tcBorders>
            <w:shd w:val="clear" w:color="auto" w:fill="auto"/>
            <w:noWrap/>
            <w:vAlign w:val="bottom"/>
            <w:hideMark/>
          </w:tcPr>
          <w:p w:rsidR="00D77056" w:rsidRPr="00CF23C5" w:rsidRDefault="00D77056" w:rsidP="00D77056">
            <w:pPr>
              <w:jc w:val="right"/>
              <w:rPr>
                <w:rFonts w:ascii="Arial" w:hAnsi="Arial" w:cs="Arial"/>
                <w:bCs/>
                <w:sz w:val="18"/>
                <w:szCs w:val="18"/>
              </w:rPr>
            </w:pPr>
            <w:r w:rsidRPr="00CF23C5">
              <w:rPr>
                <w:rFonts w:ascii="Arial" w:hAnsi="Arial" w:cs="Arial"/>
                <w:bCs/>
                <w:sz w:val="18"/>
                <w:szCs w:val="18"/>
              </w:rPr>
              <w:t>1,861</w:t>
            </w:r>
          </w:p>
        </w:tc>
        <w:tc>
          <w:tcPr>
            <w:tcW w:w="1559" w:type="dxa"/>
            <w:tcBorders>
              <w:top w:val="single" w:sz="4" w:space="0" w:color="auto"/>
              <w:left w:val="nil"/>
              <w:bottom w:val="single" w:sz="8" w:space="0" w:color="auto"/>
              <w:right w:val="nil"/>
            </w:tcBorders>
            <w:shd w:val="clear" w:color="auto" w:fill="auto"/>
            <w:noWrap/>
            <w:vAlign w:val="bottom"/>
            <w:hideMark/>
          </w:tcPr>
          <w:p w:rsidR="00D77056" w:rsidRPr="00CF23C5" w:rsidRDefault="00D77056" w:rsidP="00D77056">
            <w:pPr>
              <w:jc w:val="right"/>
              <w:rPr>
                <w:rFonts w:ascii="Arial" w:hAnsi="Arial" w:cs="Arial"/>
                <w:bCs/>
                <w:sz w:val="18"/>
                <w:szCs w:val="18"/>
              </w:rPr>
            </w:pPr>
            <w:r w:rsidRPr="00CF23C5">
              <w:rPr>
                <w:rFonts w:ascii="Arial" w:hAnsi="Arial" w:cs="Arial"/>
                <w:bCs/>
                <w:sz w:val="18"/>
                <w:szCs w:val="18"/>
              </w:rPr>
              <w:t>2,681</w:t>
            </w:r>
          </w:p>
        </w:tc>
        <w:tc>
          <w:tcPr>
            <w:tcW w:w="992" w:type="dxa"/>
            <w:tcBorders>
              <w:top w:val="single" w:sz="4" w:space="0" w:color="auto"/>
              <w:left w:val="nil"/>
              <w:bottom w:val="single" w:sz="8" w:space="0" w:color="auto"/>
              <w:right w:val="nil"/>
            </w:tcBorders>
            <w:vAlign w:val="bottom"/>
          </w:tcPr>
          <w:p w:rsidR="00D77056" w:rsidRPr="00CF23C5" w:rsidRDefault="00D77056" w:rsidP="00D77056">
            <w:pPr>
              <w:jc w:val="right"/>
              <w:rPr>
                <w:rFonts w:ascii="Arial" w:hAnsi="Arial" w:cs="Arial"/>
                <w:bCs/>
                <w:sz w:val="18"/>
                <w:szCs w:val="18"/>
              </w:rPr>
            </w:pPr>
            <w:r w:rsidRPr="00CF23C5">
              <w:rPr>
                <w:rFonts w:ascii="Arial" w:hAnsi="Arial" w:cs="Arial"/>
                <w:bCs/>
                <w:sz w:val="18"/>
                <w:szCs w:val="18"/>
              </w:rPr>
              <w:t>-</w:t>
            </w:r>
          </w:p>
        </w:tc>
        <w:tc>
          <w:tcPr>
            <w:tcW w:w="992" w:type="dxa"/>
            <w:tcBorders>
              <w:top w:val="single" w:sz="4" w:space="0" w:color="auto"/>
              <w:left w:val="nil"/>
              <w:bottom w:val="single" w:sz="8" w:space="0" w:color="auto"/>
              <w:right w:val="nil"/>
            </w:tcBorders>
            <w:shd w:val="clear" w:color="auto" w:fill="auto"/>
            <w:noWrap/>
            <w:vAlign w:val="bottom"/>
            <w:hideMark/>
          </w:tcPr>
          <w:p w:rsidR="00D77056" w:rsidRPr="0023411B" w:rsidRDefault="00D77056" w:rsidP="00D77056">
            <w:pPr>
              <w:jc w:val="right"/>
              <w:rPr>
                <w:rFonts w:ascii="Arial" w:hAnsi="Arial" w:cs="Arial"/>
                <w:b/>
                <w:bCs/>
                <w:sz w:val="18"/>
                <w:szCs w:val="18"/>
              </w:rPr>
            </w:pPr>
            <w:r w:rsidRPr="0023411B">
              <w:rPr>
                <w:rFonts w:ascii="Arial" w:hAnsi="Arial" w:cs="Arial"/>
                <w:b/>
                <w:bCs/>
                <w:sz w:val="18"/>
                <w:szCs w:val="18"/>
              </w:rPr>
              <w:t>11,934</w:t>
            </w:r>
          </w:p>
        </w:tc>
      </w:tr>
      <w:tr w:rsidR="00D77056" w:rsidRPr="00D440C9" w:rsidTr="00D77056">
        <w:trPr>
          <w:trHeight w:val="240"/>
        </w:trPr>
        <w:tc>
          <w:tcPr>
            <w:tcW w:w="2977" w:type="dxa"/>
            <w:tcBorders>
              <w:top w:val="single" w:sz="8" w:space="0" w:color="auto"/>
              <w:left w:val="nil"/>
              <w:bottom w:val="single" w:sz="8" w:space="0" w:color="auto"/>
              <w:right w:val="nil"/>
            </w:tcBorders>
            <w:shd w:val="clear" w:color="auto" w:fill="auto"/>
            <w:noWrap/>
            <w:vAlign w:val="bottom"/>
            <w:hideMark/>
          </w:tcPr>
          <w:p w:rsidR="00D77056" w:rsidRPr="00CE45CA" w:rsidRDefault="00D77056" w:rsidP="00D77056">
            <w:pPr>
              <w:pStyle w:val="00Bodynospace"/>
            </w:pPr>
            <w:r w:rsidRPr="00CE45CA">
              <w:t>Unallocated other costs</w:t>
            </w:r>
          </w:p>
        </w:tc>
        <w:tc>
          <w:tcPr>
            <w:tcW w:w="1276" w:type="dxa"/>
            <w:gridSpan w:val="2"/>
            <w:tcBorders>
              <w:top w:val="single" w:sz="8" w:space="0" w:color="auto"/>
              <w:left w:val="nil"/>
              <w:bottom w:val="single" w:sz="8" w:space="0" w:color="auto"/>
              <w:right w:val="nil"/>
            </w:tcBorders>
            <w:shd w:val="clear" w:color="auto" w:fill="auto"/>
            <w:noWrap/>
            <w:vAlign w:val="bottom"/>
            <w:hideMark/>
          </w:tcPr>
          <w:p w:rsidR="00D77056" w:rsidRDefault="00D77056" w:rsidP="00D77056">
            <w:pPr>
              <w:rPr>
                <w:rFonts w:ascii="Arial" w:hAnsi="Arial" w:cs="Arial"/>
                <w:b/>
                <w:bCs/>
                <w:sz w:val="18"/>
                <w:szCs w:val="18"/>
              </w:rPr>
            </w:pPr>
          </w:p>
        </w:tc>
        <w:tc>
          <w:tcPr>
            <w:tcW w:w="1134" w:type="dxa"/>
            <w:tcBorders>
              <w:top w:val="single" w:sz="8" w:space="0" w:color="auto"/>
              <w:left w:val="nil"/>
              <w:bottom w:val="single" w:sz="8" w:space="0" w:color="auto"/>
              <w:right w:val="nil"/>
            </w:tcBorders>
            <w:shd w:val="clear" w:color="auto" w:fill="auto"/>
            <w:noWrap/>
            <w:vAlign w:val="bottom"/>
            <w:hideMark/>
          </w:tcPr>
          <w:p w:rsidR="00D77056" w:rsidRDefault="00D77056" w:rsidP="00DD7978">
            <w:pPr>
              <w:jc w:val="right"/>
              <w:rPr>
                <w:rFonts w:ascii="Arial" w:hAnsi="Arial" w:cs="Arial"/>
                <w:b/>
                <w:bCs/>
                <w:sz w:val="18"/>
                <w:szCs w:val="18"/>
              </w:rPr>
            </w:pPr>
          </w:p>
        </w:tc>
        <w:tc>
          <w:tcPr>
            <w:tcW w:w="1134" w:type="dxa"/>
            <w:tcBorders>
              <w:top w:val="single" w:sz="8" w:space="0" w:color="auto"/>
              <w:left w:val="nil"/>
              <w:bottom w:val="single" w:sz="8" w:space="0" w:color="auto"/>
              <w:right w:val="nil"/>
            </w:tcBorders>
            <w:shd w:val="clear" w:color="auto" w:fill="auto"/>
            <w:noWrap/>
            <w:vAlign w:val="bottom"/>
            <w:hideMark/>
          </w:tcPr>
          <w:p w:rsidR="00D77056" w:rsidRDefault="00D77056" w:rsidP="00DD7978">
            <w:pPr>
              <w:jc w:val="right"/>
              <w:rPr>
                <w:rFonts w:ascii="Arial" w:hAnsi="Arial" w:cs="Arial"/>
                <w:b/>
                <w:bCs/>
                <w:sz w:val="18"/>
                <w:szCs w:val="18"/>
              </w:rPr>
            </w:pPr>
          </w:p>
        </w:tc>
        <w:tc>
          <w:tcPr>
            <w:tcW w:w="1559" w:type="dxa"/>
            <w:tcBorders>
              <w:top w:val="single" w:sz="8" w:space="0" w:color="auto"/>
              <w:left w:val="nil"/>
              <w:bottom w:val="single" w:sz="8" w:space="0" w:color="auto"/>
              <w:right w:val="nil"/>
            </w:tcBorders>
            <w:shd w:val="clear" w:color="auto" w:fill="auto"/>
            <w:noWrap/>
            <w:vAlign w:val="bottom"/>
            <w:hideMark/>
          </w:tcPr>
          <w:p w:rsidR="00D77056" w:rsidRDefault="00D77056" w:rsidP="00DD7978">
            <w:pPr>
              <w:jc w:val="right"/>
              <w:rPr>
                <w:rFonts w:ascii="Arial" w:hAnsi="Arial" w:cs="Arial"/>
                <w:b/>
                <w:bCs/>
                <w:sz w:val="18"/>
                <w:szCs w:val="18"/>
              </w:rPr>
            </w:pPr>
          </w:p>
        </w:tc>
        <w:tc>
          <w:tcPr>
            <w:tcW w:w="992" w:type="dxa"/>
            <w:tcBorders>
              <w:top w:val="single" w:sz="8" w:space="0" w:color="auto"/>
              <w:left w:val="nil"/>
              <w:bottom w:val="single" w:sz="8" w:space="0" w:color="auto"/>
              <w:right w:val="nil"/>
            </w:tcBorders>
            <w:vAlign w:val="bottom"/>
          </w:tcPr>
          <w:p w:rsidR="00D77056" w:rsidRDefault="00D77056" w:rsidP="00DD7978">
            <w:pPr>
              <w:jc w:val="right"/>
              <w:rPr>
                <w:rFonts w:ascii="Arial" w:hAnsi="Arial" w:cs="Arial"/>
                <w:b/>
                <w:bCs/>
                <w:sz w:val="18"/>
                <w:szCs w:val="18"/>
              </w:rPr>
            </w:pPr>
          </w:p>
        </w:tc>
        <w:tc>
          <w:tcPr>
            <w:tcW w:w="992" w:type="dxa"/>
            <w:tcBorders>
              <w:top w:val="single" w:sz="8" w:space="0" w:color="auto"/>
              <w:left w:val="nil"/>
              <w:bottom w:val="single" w:sz="8" w:space="0" w:color="auto"/>
              <w:right w:val="nil"/>
            </w:tcBorders>
            <w:shd w:val="clear" w:color="auto" w:fill="auto"/>
            <w:noWrap/>
            <w:vAlign w:val="bottom"/>
            <w:hideMark/>
          </w:tcPr>
          <w:p w:rsidR="00D77056" w:rsidRPr="0023411B" w:rsidRDefault="00D77056" w:rsidP="00DD7978">
            <w:pPr>
              <w:jc w:val="right"/>
              <w:rPr>
                <w:rFonts w:ascii="Arial" w:hAnsi="Arial" w:cs="Arial"/>
                <w:b/>
                <w:bCs/>
                <w:sz w:val="18"/>
                <w:szCs w:val="18"/>
              </w:rPr>
            </w:pPr>
            <w:r w:rsidRPr="0023411B">
              <w:rPr>
                <w:rFonts w:ascii="Arial" w:hAnsi="Arial" w:cs="Arial"/>
                <w:b/>
                <w:bCs/>
                <w:sz w:val="18"/>
                <w:szCs w:val="18"/>
              </w:rPr>
              <w:t>(2,951)</w:t>
            </w:r>
          </w:p>
        </w:tc>
      </w:tr>
      <w:tr w:rsidR="00D77056" w:rsidRPr="00D440C9" w:rsidTr="00D77056">
        <w:trPr>
          <w:trHeight w:val="240"/>
        </w:trPr>
        <w:tc>
          <w:tcPr>
            <w:tcW w:w="2977" w:type="dxa"/>
            <w:tcBorders>
              <w:top w:val="single" w:sz="8" w:space="0" w:color="auto"/>
              <w:left w:val="nil"/>
              <w:bottom w:val="nil"/>
              <w:right w:val="nil"/>
            </w:tcBorders>
            <w:shd w:val="clear" w:color="auto" w:fill="auto"/>
            <w:noWrap/>
            <w:vAlign w:val="bottom"/>
            <w:hideMark/>
          </w:tcPr>
          <w:p w:rsidR="00D77056" w:rsidRPr="00CE45CA" w:rsidRDefault="00D77056" w:rsidP="00D77056">
            <w:pPr>
              <w:pStyle w:val="00Bodynospace"/>
            </w:pPr>
            <w:r w:rsidRPr="00CE45CA">
              <w:t>Operating profit</w:t>
            </w:r>
          </w:p>
        </w:tc>
        <w:tc>
          <w:tcPr>
            <w:tcW w:w="1276" w:type="dxa"/>
            <w:gridSpan w:val="2"/>
            <w:tcBorders>
              <w:top w:val="single" w:sz="8" w:space="0" w:color="auto"/>
              <w:left w:val="nil"/>
              <w:bottom w:val="nil"/>
              <w:right w:val="nil"/>
            </w:tcBorders>
            <w:shd w:val="clear" w:color="auto" w:fill="auto"/>
            <w:noWrap/>
            <w:vAlign w:val="bottom"/>
            <w:hideMark/>
          </w:tcPr>
          <w:p w:rsidR="00D77056" w:rsidRDefault="00D77056" w:rsidP="00D77056">
            <w:pPr>
              <w:rPr>
                <w:rFonts w:ascii="Arial" w:hAnsi="Arial" w:cs="Arial"/>
                <w:b/>
                <w:bCs/>
                <w:sz w:val="18"/>
                <w:szCs w:val="18"/>
              </w:rPr>
            </w:pPr>
            <w:r>
              <w:rPr>
                <w:rFonts w:ascii="Arial" w:hAnsi="Arial" w:cs="Arial"/>
                <w:b/>
                <w:bCs/>
                <w:sz w:val="18"/>
                <w:szCs w:val="18"/>
              </w:rPr>
              <w:t> </w:t>
            </w:r>
          </w:p>
        </w:tc>
        <w:tc>
          <w:tcPr>
            <w:tcW w:w="1134" w:type="dxa"/>
            <w:tcBorders>
              <w:top w:val="single" w:sz="8" w:space="0" w:color="auto"/>
              <w:left w:val="nil"/>
              <w:bottom w:val="nil"/>
              <w:right w:val="nil"/>
            </w:tcBorders>
            <w:shd w:val="clear" w:color="auto" w:fill="auto"/>
            <w:noWrap/>
            <w:vAlign w:val="bottom"/>
            <w:hideMark/>
          </w:tcPr>
          <w:p w:rsidR="00D77056" w:rsidRDefault="00D77056" w:rsidP="00DD7978">
            <w:pPr>
              <w:jc w:val="right"/>
              <w:rPr>
                <w:rFonts w:ascii="Arial" w:hAnsi="Arial" w:cs="Arial"/>
                <w:b/>
                <w:bCs/>
                <w:sz w:val="18"/>
                <w:szCs w:val="18"/>
              </w:rPr>
            </w:pPr>
            <w:r>
              <w:rPr>
                <w:rFonts w:ascii="Arial" w:hAnsi="Arial" w:cs="Arial"/>
                <w:b/>
                <w:bCs/>
                <w:sz w:val="18"/>
                <w:szCs w:val="18"/>
              </w:rPr>
              <w:t> </w:t>
            </w:r>
          </w:p>
        </w:tc>
        <w:tc>
          <w:tcPr>
            <w:tcW w:w="1134" w:type="dxa"/>
            <w:tcBorders>
              <w:top w:val="single" w:sz="8" w:space="0" w:color="auto"/>
              <w:left w:val="nil"/>
              <w:bottom w:val="nil"/>
              <w:right w:val="nil"/>
            </w:tcBorders>
            <w:shd w:val="clear" w:color="auto" w:fill="auto"/>
            <w:noWrap/>
            <w:vAlign w:val="bottom"/>
            <w:hideMark/>
          </w:tcPr>
          <w:p w:rsidR="00D77056" w:rsidRDefault="00D77056" w:rsidP="00DD7978">
            <w:pPr>
              <w:jc w:val="right"/>
              <w:rPr>
                <w:rFonts w:ascii="Arial" w:hAnsi="Arial" w:cs="Arial"/>
                <w:sz w:val="18"/>
                <w:szCs w:val="18"/>
              </w:rPr>
            </w:pPr>
            <w:r>
              <w:rPr>
                <w:rFonts w:ascii="Arial" w:hAnsi="Arial" w:cs="Arial"/>
                <w:sz w:val="18"/>
                <w:szCs w:val="18"/>
              </w:rPr>
              <w:t> </w:t>
            </w:r>
          </w:p>
        </w:tc>
        <w:tc>
          <w:tcPr>
            <w:tcW w:w="1559" w:type="dxa"/>
            <w:tcBorders>
              <w:top w:val="single" w:sz="8" w:space="0" w:color="auto"/>
              <w:left w:val="nil"/>
              <w:bottom w:val="nil"/>
              <w:right w:val="nil"/>
            </w:tcBorders>
            <w:shd w:val="clear" w:color="auto" w:fill="auto"/>
            <w:noWrap/>
            <w:vAlign w:val="bottom"/>
            <w:hideMark/>
          </w:tcPr>
          <w:p w:rsidR="00D77056" w:rsidRDefault="00D77056" w:rsidP="00DD7978">
            <w:pPr>
              <w:jc w:val="right"/>
              <w:rPr>
                <w:rFonts w:ascii="Arial" w:hAnsi="Arial" w:cs="Arial"/>
                <w:sz w:val="18"/>
                <w:szCs w:val="18"/>
              </w:rPr>
            </w:pPr>
            <w:r>
              <w:rPr>
                <w:rFonts w:ascii="Arial" w:hAnsi="Arial" w:cs="Arial"/>
                <w:sz w:val="18"/>
                <w:szCs w:val="18"/>
              </w:rPr>
              <w:t> </w:t>
            </w:r>
          </w:p>
        </w:tc>
        <w:tc>
          <w:tcPr>
            <w:tcW w:w="992" w:type="dxa"/>
            <w:tcBorders>
              <w:top w:val="single" w:sz="8" w:space="0" w:color="auto"/>
              <w:left w:val="nil"/>
              <w:bottom w:val="nil"/>
              <w:right w:val="nil"/>
            </w:tcBorders>
            <w:vAlign w:val="bottom"/>
          </w:tcPr>
          <w:p w:rsidR="00D77056" w:rsidRDefault="00D77056" w:rsidP="00DD7978">
            <w:pPr>
              <w:jc w:val="right"/>
              <w:rPr>
                <w:rFonts w:ascii="Arial" w:hAnsi="Arial" w:cs="Arial"/>
                <w:sz w:val="18"/>
                <w:szCs w:val="18"/>
              </w:rPr>
            </w:pPr>
            <w:r>
              <w:rPr>
                <w:rFonts w:ascii="Arial" w:hAnsi="Arial" w:cs="Arial"/>
                <w:sz w:val="18"/>
                <w:szCs w:val="18"/>
              </w:rPr>
              <w:t> </w:t>
            </w:r>
          </w:p>
        </w:tc>
        <w:tc>
          <w:tcPr>
            <w:tcW w:w="992" w:type="dxa"/>
            <w:tcBorders>
              <w:top w:val="single" w:sz="8" w:space="0" w:color="auto"/>
              <w:left w:val="nil"/>
              <w:bottom w:val="nil"/>
              <w:right w:val="nil"/>
            </w:tcBorders>
            <w:shd w:val="clear" w:color="auto" w:fill="auto"/>
            <w:noWrap/>
            <w:vAlign w:val="bottom"/>
            <w:hideMark/>
          </w:tcPr>
          <w:p w:rsidR="00D77056" w:rsidRPr="0023411B" w:rsidRDefault="00D77056" w:rsidP="00DD7978">
            <w:pPr>
              <w:jc w:val="right"/>
              <w:rPr>
                <w:rFonts w:ascii="Arial" w:hAnsi="Arial" w:cs="Arial"/>
                <w:b/>
                <w:bCs/>
                <w:sz w:val="18"/>
                <w:szCs w:val="18"/>
              </w:rPr>
            </w:pPr>
            <w:r w:rsidRPr="0023411B">
              <w:rPr>
                <w:rFonts w:ascii="Arial" w:hAnsi="Arial" w:cs="Arial"/>
                <w:b/>
                <w:bCs/>
                <w:sz w:val="18"/>
                <w:szCs w:val="18"/>
              </w:rPr>
              <w:t>8,983</w:t>
            </w:r>
          </w:p>
        </w:tc>
      </w:tr>
      <w:tr w:rsidR="00D77056" w:rsidRPr="00D440C9" w:rsidTr="00D77056">
        <w:trPr>
          <w:trHeight w:val="240"/>
        </w:trPr>
        <w:tc>
          <w:tcPr>
            <w:tcW w:w="2977" w:type="dxa"/>
            <w:tcBorders>
              <w:top w:val="nil"/>
              <w:left w:val="nil"/>
              <w:bottom w:val="nil"/>
              <w:right w:val="nil"/>
            </w:tcBorders>
            <w:shd w:val="clear" w:color="auto" w:fill="auto"/>
            <w:vAlign w:val="bottom"/>
            <w:hideMark/>
          </w:tcPr>
          <w:p w:rsidR="00D77056" w:rsidRPr="00CE45CA" w:rsidRDefault="00D77056" w:rsidP="00D77056">
            <w:pPr>
              <w:pStyle w:val="00Bodynospace"/>
            </w:pPr>
            <w:r w:rsidRPr="00CE45CA">
              <w:t>Finance income – net</w:t>
            </w:r>
          </w:p>
        </w:tc>
        <w:tc>
          <w:tcPr>
            <w:tcW w:w="1276" w:type="dxa"/>
            <w:gridSpan w:val="2"/>
            <w:tcBorders>
              <w:top w:val="nil"/>
              <w:left w:val="nil"/>
              <w:bottom w:val="nil"/>
              <w:right w:val="nil"/>
            </w:tcBorders>
            <w:shd w:val="clear" w:color="auto" w:fill="auto"/>
            <w:noWrap/>
            <w:vAlign w:val="bottom"/>
            <w:hideMark/>
          </w:tcPr>
          <w:p w:rsidR="00D77056" w:rsidRDefault="00D77056" w:rsidP="00D77056">
            <w:pPr>
              <w:rPr>
                <w:rFonts w:ascii="Arial" w:hAnsi="Arial" w:cs="Arial"/>
                <w:b/>
                <w:bCs/>
                <w:sz w:val="18"/>
                <w:szCs w:val="18"/>
              </w:rPr>
            </w:pPr>
            <w:r>
              <w:rPr>
                <w:rFonts w:ascii="Arial" w:hAnsi="Arial" w:cs="Arial"/>
                <w:b/>
                <w:bCs/>
                <w:sz w:val="18"/>
                <w:szCs w:val="18"/>
              </w:rPr>
              <w:t> </w:t>
            </w:r>
          </w:p>
        </w:tc>
        <w:tc>
          <w:tcPr>
            <w:tcW w:w="1134" w:type="dxa"/>
            <w:tcBorders>
              <w:top w:val="nil"/>
              <w:left w:val="nil"/>
              <w:bottom w:val="nil"/>
              <w:right w:val="nil"/>
            </w:tcBorders>
            <w:shd w:val="clear" w:color="auto" w:fill="auto"/>
            <w:noWrap/>
            <w:vAlign w:val="bottom"/>
            <w:hideMark/>
          </w:tcPr>
          <w:p w:rsidR="00D77056" w:rsidRDefault="00D77056" w:rsidP="00DD7978">
            <w:pPr>
              <w:jc w:val="right"/>
              <w:rPr>
                <w:rFonts w:ascii="Arial" w:hAnsi="Arial" w:cs="Arial"/>
                <w:b/>
                <w:bCs/>
                <w:sz w:val="18"/>
                <w:szCs w:val="18"/>
              </w:rPr>
            </w:pPr>
            <w:r>
              <w:rPr>
                <w:rFonts w:ascii="Arial" w:hAnsi="Arial" w:cs="Arial"/>
                <w:b/>
                <w:bCs/>
                <w:sz w:val="18"/>
                <w:szCs w:val="18"/>
              </w:rPr>
              <w:t> </w:t>
            </w:r>
          </w:p>
        </w:tc>
        <w:tc>
          <w:tcPr>
            <w:tcW w:w="1134" w:type="dxa"/>
            <w:tcBorders>
              <w:top w:val="nil"/>
              <w:left w:val="nil"/>
              <w:bottom w:val="nil"/>
              <w:right w:val="nil"/>
            </w:tcBorders>
            <w:shd w:val="clear" w:color="auto" w:fill="auto"/>
            <w:noWrap/>
            <w:vAlign w:val="bottom"/>
            <w:hideMark/>
          </w:tcPr>
          <w:p w:rsidR="00D77056" w:rsidRDefault="00D77056" w:rsidP="00DD7978">
            <w:pPr>
              <w:jc w:val="right"/>
              <w:rPr>
                <w:rFonts w:ascii="Arial" w:hAnsi="Arial" w:cs="Arial"/>
                <w:sz w:val="18"/>
                <w:szCs w:val="18"/>
              </w:rPr>
            </w:pPr>
            <w:r>
              <w:rPr>
                <w:rFonts w:ascii="Arial" w:hAnsi="Arial" w:cs="Arial"/>
                <w:sz w:val="18"/>
                <w:szCs w:val="18"/>
              </w:rPr>
              <w:t> </w:t>
            </w:r>
          </w:p>
        </w:tc>
        <w:tc>
          <w:tcPr>
            <w:tcW w:w="1559" w:type="dxa"/>
            <w:tcBorders>
              <w:top w:val="nil"/>
              <w:left w:val="nil"/>
              <w:bottom w:val="nil"/>
              <w:right w:val="nil"/>
            </w:tcBorders>
            <w:shd w:val="clear" w:color="auto" w:fill="auto"/>
            <w:noWrap/>
            <w:vAlign w:val="bottom"/>
            <w:hideMark/>
          </w:tcPr>
          <w:p w:rsidR="00D77056" w:rsidRDefault="00D77056" w:rsidP="00DD7978">
            <w:pPr>
              <w:jc w:val="right"/>
              <w:rPr>
                <w:rFonts w:ascii="Arial" w:hAnsi="Arial" w:cs="Arial"/>
                <w:sz w:val="18"/>
                <w:szCs w:val="18"/>
              </w:rPr>
            </w:pPr>
            <w:r>
              <w:rPr>
                <w:rFonts w:ascii="Arial" w:hAnsi="Arial" w:cs="Arial"/>
                <w:sz w:val="18"/>
                <w:szCs w:val="18"/>
              </w:rPr>
              <w:t> </w:t>
            </w:r>
          </w:p>
        </w:tc>
        <w:tc>
          <w:tcPr>
            <w:tcW w:w="992" w:type="dxa"/>
            <w:tcBorders>
              <w:top w:val="nil"/>
              <w:left w:val="nil"/>
              <w:bottom w:val="nil"/>
              <w:right w:val="nil"/>
            </w:tcBorders>
            <w:vAlign w:val="bottom"/>
          </w:tcPr>
          <w:p w:rsidR="00D77056" w:rsidRDefault="00D77056" w:rsidP="00DD7978">
            <w:pPr>
              <w:jc w:val="right"/>
              <w:rPr>
                <w:rFonts w:ascii="Arial" w:hAnsi="Arial" w:cs="Arial"/>
                <w:sz w:val="18"/>
                <w:szCs w:val="18"/>
              </w:rPr>
            </w:pPr>
            <w:r>
              <w:rPr>
                <w:rFonts w:ascii="Arial" w:hAnsi="Arial" w:cs="Arial"/>
                <w:sz w:val="18"/>
                <w:szCs w:val="18"/>
              </w:rPr>
              <w:t> </w:t>
            </w:r>
          </w:p>
        </w:tc>
        <w:tc>
          <w:tcPr>
            <w:tcW w:w="992" w:type="dxa"/>
            <w:tcBorders>
              <w:top w:val="nil"/>
              <w:left w:val="nil"/>
              <w:bottom w:val="nil"/>
              <w:right w:val="nil"/>
            </w:tcBorders>
            <w:shd w:val="clear" w:color="auto" w:fill="auto"/>
            <w:noWrap/>
            <w:vAlign w:val="bottom"/>
            <w:hideMark/>
          </w:tcPr>
          <w:p w:rsidR="00D77056" w:rsidRPr="0023411B" w:rsidRDefault="00D77056" w:rsidP="00DD7978">
            <w:pPr>
              <w:jc w:val="right"/>
              <w:rPr>
                <w:rFonts w:ascii="Arial" w:hAnsi="Arial" w:cs="Arial"/>
                <w:b/>
                <w:sz w:val="18"/>
                <w:szCs w:val="18"/>
              </w:rPr>
            </w:pPr>
            <w:r w:rsidRPr="0023411B">
              <w:rPr>
                <w:rFonts w:ascii="Arial" w:hAnsi="Arial" w:cs="Arial"/>
                <w:b/>
                <w:sz w:val="18"/>
                <w:szCs w:val="18"/>
              </w:rPr>
              <w:t>251</w:t>
            </w:r>
          </w:p>
        </w:tc>
      </w:tr>
      <w:tr w:rsidR="00D77056" w:rsidRPr="00D440C9" w:rsidTr="00D77056">
        <w:trPr>
          <w:trHeight w:val="240"/>
        </w:trPr>
        <w:tc>
          <w:tcPr>
            <w:tcW w:w="2977" w:type="dxa"/>
            <w:tcBorders>
              <w:top w:val="nil"/>
              <w:left w:val="nil"/>
              <w:bottom w:val="single" w:sz="4" w:space="0" w:color="auto"/>
              <w:right w:val="nil"/>
            </w:tcBorders>
            <w:shd w:val="clear" w:color="auto" w:fill="auto"/>
            <w:vAlign w:val="bottom"/>
            <w:hideMark/>
          </w:tcPr>
          <w:p w:rsidR="00D77056" w:rsidRPr="00CE45CA" w:rsidRDefault="00D77056" w:rsidP="00D77056">
            <w:pPr>
              <w:pStyle w:val="00Bodynospace"/>
            </w:pPr>
            <w:r w:rsidRPr="00CE45CA">
              <w:t>Share of profit from joint ventures</w:t>
            </w:r>
          </w:p>
        </w:tc>
        <w:tc>
          <w:tcPr>
            <w:tcW w:w="5103" w:type="dxa"/>
            <w:gridSpan w:val="5"/>
            <w:tcBorders>
              <w:top w:val="nil"/>
              <w:left w:val="nil"/>
              <w:bottom w:val="single" w:sz="4" w:space="0" w:color="auto"/>
              <w:right w:val="nil"/>
            </w:tcBorders>
            <w:shd w:val="clear" w:color="auto" w:fill="auto"/>
            <w:noWrap/>
            <w:vAlign w:val="bottom"/>
            <w:hideMark/>
          </w:tcPr>
          <w:p w:rsidR="00D77056" w:rsidRDefault="00D77056" w:rsidP="00D77056">
            <w:pPr>
              <w:rPr>
                <w:rFonts w:ascii="Arial" w:hAnsi="Arial" w:cs="Arial"/>
                <w:sz w:val="18"/>
                <w:szCs w:val="18"/>
              </w:rPr>
            </w:pPr>
            <w:r>
              <w:rPr>
                <w:rFonts w:ascii="Arial" w:hAnsi="Arial" w:cs="Arial"/>
                <w:sz w:val="18"/>
                <w:szCs w:val="18"/>
              </w:rPr>
              <w:t> </w:t>
            </w:r>
          </w:p>
        </w:tc>
        <w:tc>
          <w:tcPr>
            <w:tcW w:w="992" w:type="dxa"/>
            <w:tcBorders>
              <w:top w:val="nil"/>
              <w:left w:val="nil"/>
              <w:bottom w:val="single" w:sz="4" w:space="0" w:color="auto"/>
              <w:right w:val="nil"/>
            </w:tcBorders>
            <w:vAlign w:val="bottom"/>
          </w:tcPr>
          <w:p w:rsidR="00D77056" w:rsidRDefault="00D77056" w:rsidP="00DD7978">
            <w:pPr>
              <w:rPr>
                <w:rFonts w:ascii="Arial" w:hAnsi="Arial" w:cs="Arial"/>
                <w:sz w:val="18"/>
                <w:szCs w:val="18"/>
              </w:rPr>
            </w:pPr>
            <w:r>
              <w:rPr>
                <w:rFonts w:ascii="Arial" w:hAnsi="Arial" w:cs="Arial"/>
                <w:sz w:val="18"/>
                <w:szCs w:val="18"/>
              </w:rPr>
              <w:t> </w:t>
            </w:r>
          </w:p>
        </w:tc>
        <w:tc>
          <w:tcPr>
            <w:tcW w:w="992" w:type="dxa"/>
            <w:tcBorders>
              <w:top w:val="nil"/>
              <w:left w:val="nil"/>
              <w:bottom w:val="single" w:sz="4" w:space="0" w:color="auto"/>
              <w:right w:val="nil"/>
            </w:tcBorders>
            <w:shd w:val="clear" w:color="auto" w:fill="auto"/>
            <w:noWrap/>
            <w:vAlign w:val="bottom"/>
            <w:hideMark/>
          </w:tcPr>
          <w:p w:rsidR="00D77056" w:rsidRPr="00B06082" w:rsidRDefault="00D77056" w:rsidP="00B06082">
            <w:pPr>
              <w:jc w:val="right"/>
              <w:rPr>
                <w:rFonts w:ascii="Arial" w:hAnsi="Arial" w:cs="Arial"/>
                <w:b/>
                <w:sz w:val="18"/>
                <w:szCs w:val="18"/>
              </w:rPr>
            </w:pPr>
            <w:r>
              <w:rPr>
                <w:rFonts w:ascii="Arial" w:hAnsi="Arial" w:cs="Arial"/>
                <w:sz w:val="18"/>
                <w:szCs w:val="18"/>
              </w:rPr>
              <w:t> </w:t>
            </w:r>
            <w:r w:rsidR="00B06082" w:rsidRPr="00B06082">
              <w:rPr>
                <w:rFonts w:ascii="Arial" w:hAnsi="Arial" w:cs="Arial"/>
                <w:b/>
                <w:sz w:val="18"/>
                <w:szCs w:val="18"/>
              </w:rPr>
              <w:t>62</w:t>
            </w:r>
          </w:p>
        </w:tc>
      </w:tr>
      <w:tr w:rsidR="00D77056" w:rsidRPr="00D440C9" w:rsidTr="00D77056">
        <w:trPr>
          <w:trHeight w:val="240"/>
        </w:trPr>
        <w:tc>
          <w:tcPr>
            <w:tcW w:w="2977" w:type="dxa"/>
            <w:tcBorders>
              <w:top w:val="nil"/>
              <w:left w:val="nil"/>
              <w:bottom w:val="nil"/>
              <w:right w:val="nil"/>
            </w:tcBorders>
            <w:shd w:val="clear" w:color="auto" w:fill="auto"/>
            <w:vAlign w:val="bottom"/>
            <w:hideMark/>
          </w:tcPr>
          <w:p w:rsidR="00D77056" w:rsidRPr="00CE45CA" w:rsidRDefault="00D77056" w:rsidP="00D77056">
            <w:pPr>
              <w:pStyle w:val="00Bodynospace"/>
            </w:pPr>
            <w:r w:rsidRPr="00CE45CA">
              <w:t>Profit before taxation</w:t>
            </w:r>
          </w:p>
        </w:tc>
        <w:tc>
          <w:tcPr>
            <w:tcW w:w="1276" w:type="dxa"/>
            <w:gridSpan w:val="2"/>
            <w:tcBorders>
              <w:top w:val="nil"/>
              <w:left w:val="nil"/>
              <w:bottom w:val="nil"/>
              <w:right w:val="nil"/>
            </w:tcBorders>
            <w:shd w:val="clear" w:color="auto" w:fill="auto"/>
            <w:noWrap/>
            <w:vAlign w:val="bottom"/>
            <w:hideMark/>
          </w:tcPr>
          <w:p w:rsidR="00D77056" w:rsidRDefault="00D77056" w:rsidP="00D77056">
            <w:pPr>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D77056" w:rsidRDefault="00D77056" w:rsidP="00DD7978">
            <w:pPr>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D77056" w:rsidRDefault="00D77056" w:rsidP="00DD7978">
            <w:pPr>
              <w:rPr>
                <w:rFonts w:ascii="Arial" w:hAnsi="Arial" w:cs="Arial"/>
                <w:sz w:val="18"/>
                <w:szCs w:val="18"/>
              </w:rPr>
            </w:pPr>
          </w:p>
        </w:tc>
        <w:tc>
          <w:tcPr>
            <w:tcW w:w="1559" w:type="dxa"/>
            <w:tcBorders>
              <w:top w:val="nil"/>
              <w:left w:val="nil"/>
              <w:bottom w:val="nil"/>
              <w:right w:val="nil"/>
            </w:tcBorders>
            <w:shd w:val="clear" w:color="auto" w:fill="auto"/>
            <w:noWrap/>
            <w:vAlign w:val="bottom"/>
            <w:hideMark/>
          </w:tcPr>
          <w:p w:rsidR="00D77056" w:rsidRDefault="00D77056" w:rsidP="00DD7978">
            <w:pPr>
              <w:jc w:val="right"/>
              <w:rPr>
                <w:rFonts w:ascii="Arial" w:hAnsi="Arial" w:cs="Arial"/>
                <w:sz w:val="18"/>
                <w:szCs w:val="18"/>
              </w:rPr>
            </w:pPr>
            <w:r>
              <w:rPr>
                <w:rFonts w:ascii="Arial" w:hAnsi="Arial" w:cs="Arial"/>
                <w:sz w:val="18"/>
                <w:szCs w:val="18"/>
              </w:rPr>
              <w:t> </w:t>
            </w:r>
          </w:p>
        </w:tc>
        <w:tc>
          <w:tcPr>
            <w:tcW w:w="992" w:type="dxa"/>
            <w:tcBorders>
              <w:top w:val="nil"/>
              <w:left w:val="nil"/>
              <w:bottom w:val="nil"/>
              <w:right w:val="nil"/>
            </w:tcBorders>
            <w:vAlign w:val="bottom"/>
          </w:tcPr>
          <w:p w:rsidR="00D77056" w:rsidRDefault="00D77056" w:rsidP="00DD7978">
            <w:pPr>
              <w:jc w:val="right"/>
              <w:rPr>
                <w:rFonts w:ascii="Arial" w:hAnsi="Arial" w:cs="Arial"/>
                <w:sz w:val="18"/>
                <w:szCs w:val="18"/>
              </w:rPr>
            </w:pPr>
            <w:r>
              <w:rPr>
                <w:rFonts w:ascii="Arial" w:hAnsi="Arial" w:cs="Arial"/>
                <w:sz w:val="18"/>
                <w:szCs w:val="18"/>
              </w:rPr>
              <w:t> </w:t>
            </w:r>
          </w:p>
        </w:tc>
        <w:tc>
          <w:tcPr>
            <w:tcW w:w="992" w:type="dxa"/>
            <w:tcBorders>
              <w:top w:val="nil"/>
              <w:left w:val="nil"/>
              <w:bottom w:val="nil"/>
              <w:right w:val="nil"/>
            </w:tcBorders>
            <w:shd w:val="clear" w:color="auto" w:fill="auto"/>
            <w:noWrap/>
            <w:vAlign w:val="bottom"/>
            <w:hideMark/>
          </w:tcPr>
          <w:p w:rsidR="00D77056" w:rsidRPr="0023411B" w:rsidRDefault="00D77056" w:rsidP="00DD7978">
            <w:pPr>
              <w:jc w:val="right"/>
              <w:rPr>
                <w:rFonts w:ascii="Arial" w:hAnsi="Arial" w:cs="Arial"/>
                <w:b/>
                <w:bCs/>
                <w:sz w:val="18"/>
                <w:szCs w:val="18"/>
              </w:rPr>
            </w:pPr>
            <w:r w:rsidRPr="0023411B">
              <w:rPr>
                <w:rFonts w:ascii="Arial" w:hAnsi="Arial" w:cs="Arial"/>
                <w:b/>
                <w:bCs/>
                <w:sz w:val="18"/>
                <w:szCs w:val="18"/>
              </w:rPr>
              <w:t>9,296</w:t>
            </w:r>
          </w:p>
        </w:tc>
      </w:tr>
      <w:tr w:rsidR="00D77056" w:rsidRPr="00D440C9" w:rsidTr="00D77056">
        <w:trPr>
          <w:trHeight w:val="240"/>
        </w:trPr>
        <w:tc>
          <w:tcPr>
            <w:tcW w:w="2977" w:type="dxa"/>
            <w:tcBorders>
              <w:top w:val="nil"/>
              <w:left w:val="nil"/>
              <w:bottom w:val="nil"/>
              <w:right w:val="nil"/>
            </w:tcBorders>
            <w:shd w:val="clear" w:color="auto" w:fill="auto"/>
            <w:vAlign w:val="bottom"/>
            <w:hideMark/>
          </w:tcPr>
          <w:p w:rsidR="00D77056" w:rsidRPr="00CE45CA" w:rsidRDefault="00D77056" w:rsidP="00D77056">
            <w:pPr>
              <w:pStyle w:val="00Bodynospace"/>
            </w:pPr>
            <w:r w:rsidRPr="00CE45CA">
              <w:t>Taxation</w:t>
            </w:r>
          </w:p>
        </w:tc>
        <w:tc>
          <w:tcPr>
            <w:tcW w:w="1276" w:type="dxa"/>
            <w:gridSpan w:val="2"/>
            <w:tcBorders>
              <w:top w:val="nil"/>
              <w:left w:val="nil"/>
              <w:bottom w:val="nil"/>
              <w:right w:val="nil"/>
            </w:tcBorders>
            <w:shd w:val="clear" w:color="auto" w:fill="auto"/>
            <w:noWrap/>
            <w:vAlign w:val="bottom"/>
            <w:hideMark/>
          </w:tcPr>
          <w:p w:rsidR="00D77056" w:rsidRDefault="00D77056" w:rsidP="00D77056">
            <w:pPr>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D77056" w:rsidRDefault="00D77056" w:rsidP="00DD7978">
            <w:pPr>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D77056" w:rsidRDefault="00D77056" w:rsidP="00DD7978">
            <w:pPr>
              <w:rPr>
                <w:rFonts w:ascii="Arial" w:hAnsi="Arial" w:cs="Arial"/>
                <w:sz w:val="18"/>
                <w:szCs w:val="18"/>
              </w:rPr>
            </w:pPr>
          </w:p>
        </w:tc>
        <w:tc>
          <w:tcPr>
            <w:tcW w:w="1559" w:type="dxa"/>
            <w:tcBorders>
              <w:top w:val="nil"/>
              <w:left w:val="nil"/>
              <w:bottom w:val="nil"/>
              <w:right w:val="nil"/>
            </w:tcBorders>
            <w:shd w:val="clear" w:color="auto" w:fill="auto"/>
            <w:noWrap/>
            <w:vAlign w:val="bottom"/>
            <w:hideMark/>
          </w:tcPr>
          <w:p w:rsidR="00D77056" w:rsidRDefault="00D77056" w:rsidP="00DD7978">
            <w:pPr>
              <w:jc w:val="right"/>
              <w:rPr>
                <w:rFonts w:ascii="Arial" w:hAnsi="Arial" w:cs="Arial"/>
                <w:sz w:val="18"/>
                <w:szCs w:val="18"/>
              </w:rPr>
            </w:pPr>
            <w:r>
              <w:rPr>
                <w:rFonts w:ascii="Arial" w:hAnsi="Arial" w:cs="Arial"/>
                <w:sz w:val="18"/>
                <w:szCs w:val="18"/>
              </w:rPr>
              <w:t> </w:t>
            </w:r>
          </w:p>
        </w:tc>
        <w:tc>
          <w:tcPr>
            <w:tcW w:w="992" w:type="dxa"/>
            <w:tcBorders>
              <w:top w:val="nil"/>
              <w:left w:val="nil"/>
              <w:bottom w:val="nil"/>
              <w:right w:val="nil"/>
            </w:tcBorders>
            <w:vAlign w:val="bottom"/>
          </w:tcPr>
          <w:p w:rsidR="00D77056" w:rsidRDefault="00D77056" w:rsidP="00DD7978">
            <w:pPr>
              <w:jc w:val="right"/>
              <w:rPr>
                <w:rFonts w:ascii="Arial" w:hAnsi="Arial" w:cs="Arial"/>
                <w:sz w:val="18"/>
                <w:szCs w:val="18"/>
              </w:rPr>
            </w:pPr>
            <w:r>
              <w:rPr>
                <w:rFonts w:ascii="Arial" w:hAnsi="Arial" w:cs="Arial"/>
                <w:sz w:val="18"/>
                <w:szCs w:val="18"/>
              </w:rPr>
              <w:t> </w:t>
            </w:r>
          </w:p>
        </w:tc>
        <w:tc>
          <w:tcPr>
            <w:tcW w:w="992" w:type="dxa"/>
            <w:tcBorders>
              <w:top w:val="nil"/>
              <w:left w:val="nil"/>
              <w:bottom w:val="nil"/>
              <w:right w:val="nil"/>
            </w:tcBorders>
            <w:shd w:val="clear" w:color="auto" w:fill="auto"/>
            <w:noWrap/>
            <w:vAlign w:val="bottom"/>
            <w:hideMark/>
          </w:tcPr>
          <w:p w:rsidR="00D77056" w:rsidRPr="0023411B" w:rsidRDefault="00D77056" w:rsidP="00DD7978">
            <w:pPr>
              <w:jc w:val="right"/>
              <w:rPr>
                <w:rFonts w:ascii="Arial" w:hAnsi="Arial" w:cs="Arial"/>
                <w:b/>
                <w:sz w:val="18"/>
                <w:szCs w:val="18"/>
              </w:rPr>
            </w:pPr>
            <w:r w:rsidRPr="0023411B">
              <w:rPr>
                <w:rFonts w:ascii="Arial" w:hAnsi="Arial" w:cs="Arial"/>
                <w:b/>
                <w:sz w:val="18"/>
                <w:szCs w:val="18"/>
              </w:rPr>
              <w:t>(2,447)</w:t>
            </w:r>
          </w:p>
        </w:tc>
      </w:tr>
      <w:tr w:rsidR="00D77056" w:rsidRPr="00D440C9" w:rsidTr="00D77056">
        <w:trPr>
          <w:trHeight w:val="495"/>
        </w:trPr>
        <w:tc>
          <w:tcPr>
            <w:tcW w:w="3544" w:type="dxa"/>
            <w:gridSpan w:val="2"/>
            <w:tcBorders>
              <w:top w:val="single" w:sz="4" w:space="0" w:color="auto"/>
              <w:left w:val="nil"/>
              <w:bottom w:val="single" w:sz="4" w:space="0" w:color="auto"/>
              <w:right w:val="nil"/>
            </w:tcBorders>
            <w:shd w:val="clear" w:color="auto" w:fill="auto"/>
            <w:vAlign w:val="bottom"/>
            <w:hideMark/>
          </w:tcPr>
          <w:p w:rsidR="00D77056" w:rsidRPr="00CE45CA" w:rsidRDefault="00D77056" w:rsidP="00D77056">
            <w:pPr>
              <w:pStyle w:val="00Bodynospace"/>
            </w:pPr>
            <w:r w:rsidRPr="00CE45CA">
              <w:t>Profit for the period attributable to shareholders from continuing operations</w:t>
            </w:r>
          </w:p>
        </w:tc>
        <w:tc>
          <w:tcPr>
            <w:tcW w:w="709" w:type="dxa"/>
            <w:tcBorders>
              <w:top w:val="single" w:sz="4" w:space="0" w:color="auto"/>
              <w:left w:val="nil"/>
              <w:bottom w:val="single" w:sz="4" w:space="0" w:color="auto"/>
              <w:right w:val="nil"/>
            </w:tcBorders>
            <w:shd w:val="clear" w:color="auto" w:fill="auto"/>
            <w:noWrap/>
            <w:vAlign w:val="bottom"/>
            <w:hideMark/>
          </w:tcPr>
          <w:p w:rsidR="00D77056" w:rsidRDefault="00D77056" w:rsidP="00DD7978">
            <w:pPr>
              <w:rPr>
                <w:rFonts w:ascii="Arial" w:hAnsi="Arial" w:cs="Arial"/>
                <w:sz w:val="18"/>
                <w:szCs w:val="18"/>
              </w:rPr>
            </w:pPr>
            <w:r>
              <w:rPr>
                <w:rFonts w:ascii="Arial" w:hAnsi="Arial" w:cs="Arial"/>
                <w:sz w:val="18"/>
                <w:szCs w:val="18"/>
              </w:rPr>
              <w:t> </w:t>
            </w:r>
          </w:p>
        </w:tc>
        <w:tc>
          <w:tcPr>
            <w:tcW w:w="1134" w:type="dxa"/>
            <w:tcBorders>
              <w:top w:val="single" w:sz="4" w:space="0" w:color="auto"/>
              <w:left w:val="nil"/>
              <w:bottom w:val="single" w:sz="4" w:space="0" w:color="auto"/>
              <w:right w:val="nil"/>
            </w:tcBorders>
            <w:shd w:val="clear" w:color="auto" w:fill="auto"/>
            <w:noWrap/>
            <w:vAlign w:val="bottom"/>
            <w:hideMark/>
          </w:tcPr>
          <w:p w:rsidR="00D77056" w:rsidRDefault="00D77056" w:rsidP="00DD7978">
            <w:pPr>
              <w:rPr>
                <w:rFonts w:ascii="Arial" w:hAnsi="Arial" w:cs="Arial"/>
                <w:sz w:val="18"/>
                <w:szCs w:val="18"/>
              </w:rPr>
            </w:pPr>
            <w:r>
              <w:rPr>
                <w:rFonts w:ascii="Arial" w:hAnsi="Arial" w:cs="Arial"/>
                <w:sz w:val="18"/>
                <w:szCs w:val="18"/>
              </w:rPr>
              <w:t> </w:t>
            </w:r>
          </w:p>
        </w:tc>
        <w:tc>
          <w:tcPr>
            <w:tcW w:w="1134" w:type="dxa"/>
            <w:tcBorders>
              <w:top w:val="single" w:sz="4" w:space="0" w:color="auto"/>
              <w:left w:val="nil"/>
              <w:bottom w:val="single" w:sz="4" w:space="0" w:color="auto"/>
              <w:right w:val="nil"/>
            </w:tcBorders>
            <w:shd w:val="clear" w:color="auto" w:fill="auto"/>
            <w:noWrap/>
            <w:vAlign w:val="bottom"/>
            <w:hideMark/>
          </w:tcPr>
          <w:p w:rsidR="00D77056" w:rsidRDefault="00D77056" w:rsidP="00DD7978">
            <w:pPr>
              <w:rPr>
                <w:rFonts w:ascii="Arial" w:hAnsi="Arial" w:cs="Arial"/>
                <w:sz w:val="18"/>
                <w:szCs w:val="18"/>
              </w:rPr>
            </w:pPr>
            <w:r>
              <w:rPr>
                <w:rFonts w:ascii="Arial" w:hAnsi="Arial" w:cs="Arial"/>
                <w:sz w:val="18"/>
                <w:szCs w:val="18"/>
              </w:rPr>
              <w:t> </w:t>
            </w:r>
          </w:p>
        </w:tc>
        <w:tc>
          <w:tcPr>
            <w:tcW w:w="1559" w:type="dxa"/>
            <w:tcBorders>
              <w:top w:val="single" w:sz="4" w:space="0" w:color="auto"/>
              <w:left w:val="nil"/>
              <w:bottom w:val="single" w:sz="4" w:space="0" w:color="auto"/>
              <w:right w:val="nil"/>
            </w:tcBorders>
            <w:shd w:val="clear" w:color="auto" w:fill="auto"/>
            <w:noWrap/>
            <w:vAlign w:val="bottom"/>
            <w:hideMark/>
          </w:tcPr>
          <w:p w:rsidR="00D77056" w:rsidRDefault="00D77056" w:rsidP="00DD7978">
            <w:pPr>
              <w:jc w:val="right"/>
              <w:rPr>
                <w:rFonts w:ascii="Arial" w:hAnsi="Arial" w:cs="Arial"/>
                <w:sz w:val="18"/>
                <w:szCs w:val="18"/>
              </w:rPr>
            </w:pPr>
            <w:r>
              <w:rPr>
                <w:rFonts w:ascii="Arial" w:hAnsi="Arial" w:cs="Arial"/>
                <w:sz w:val="18"/>
                <w:szCs w:val="18"/>
              </w:rPr>
              <w:t> </w:t>
            </w:r>
          </w:p>
        </w:tc>
        <w:tc>
          <w:tcPr>
            <w:tcW w:w="992" w:type="dxa"/>
            <w:tcBorders>
              <w:top w:val="single" w:sz="4" w:space="0" w:color="auto"/>
              <w:left w:val="nil"/>
              <w:bottom w:val="single" w:sz="4" w:space="0" w:color="auto"/>
              <w:right w:val="nil"/>
            </w:tcBorders>
            <w:vAlign w:val="bottom"/>
          </w:tcPr>
          <w:p w:rsidR="00D77056" w:rsidRDefault="00D77056" w:rsidP="00DD7978">
            <w:pPr>
              <w:jc w:val="right"/>
              <w:rPr>
                <w:rFonts w:ascii="Arial" w:hAnsi="Arial" w:cs="Arial"/>
                <w:sz w:val="18"/>
                <w:szCs w:val="18"/>
              </w:rPr>
            </w:pPr>
            <w:r>
              <w:rPr>
                <w:rFonts w:ascii="Arial" w:hAnsi="Arial" w:cs="Arial"/>
                <w:sz w:val="18"/>
                <w:szCs w:val="18"/>
              </w:rPr>
              <w:t> </w:t>
            </w:r>
          </w:p>
        </w:tc>
        <w:tc>
          <w:tcPr>
            <w:tcW w:w="992" w:type="dxa"/>
            <w:tcBorders>
              <w:top w:val="single" w:sz="4" w:space="0" w:color="auto"/>
              <w:left w:val="nil"/>
              <w:bottom w:val="single" w:sz="4" w:space="0" w:color="auto"/>
              <w:right w:val="nil"/>
            </w:tcBorders>
            <w:shd w:val="clear" w:color="auto" w:fill="auto"/>
            <w:noWrap/>
            <w:vAlign w:val="bottom"/>
            <w:hideMark/>
          </w:tcPr>
          <w:p w:rsidR="00D77056" w:rsidRDefault="00D77056" w:rsidP="00DD7978">
            <w:pPr>
              <w:jc w:val="right"/>
              <w:rPr>
                <w:rFonts w:ascii="Arial" w:hAnsi="Arial" w:cs="Arial"/>
                <w:b/>
                <w:bCs/>
                <w:sz w:val="18"/>
                <w:szCs w:val="18"/>
              </w:rPr>
            </w:pPr>
            <w:r>
              <w:rPr>
                <w:rFonts w:ascii="Arial" w:hAnsi="Arial" w:cs="Arial"/>
                <w:b/>
                <w:bCs/>
                <w:sz w:val="18"/>
                <w:szCs w:val="18"/>
              </w:rPr>
              <w:t>6,849</w:t>
            </w:r>
          </w:p>
        </w:tc>
      </w:tr>
      <w:tr w:rsidR="00BD02D4" w:rsidRPr="00D440C9" w:rsidTr="00BD02D4">
        <w:trPr>
          <w:trHeight w:val="290"/>
        </w:trPr>
        <w:tc>
          <w:tcPr>
            <w:tcW w:w="2977" w:type="dxa"/>
            <w:tcBorders>
              <w:top w:val="single" w:sz="4" w:space="0" w:color="auto"/>
              <w:left w:val="nil"/>
              <w:right w:val="nil"/>
            </w:tcBorders>
            <w:shd w:val="clear" w:color="auto" w:fill="auto"/>
            <w:vAlign w:val="bottom"/>
            <w:hideMark/>
          </w:tcPr>
          <w:p w:rsidR="00BD02D4" w:rsidRPr="00D440C9" w:rsidRDefault="00BD02D4" w:rsidP="00991C20">
            <w:pPr>
              <w:rPr>
                <w:rFonts w:ascii="Arial" w:hAnsi="Arial" w:cs="Arial"/>
                <w:sz w:val="18"/>
                <w:szCs w:val="18"/>
                <w:lang w:val="en-GB" w:eastAsia="en-GB"/>
              </w:rPr>
            </w:pPr>
          </w:p>
        </w:tc>
        <w:tc>
          <w:tcPr>
            <w:tcW w:w="1276" w:type="dxa"/>
            <w:gridSpan w:val="2"/>
            <w:tcBorders>
              <w:top w:val="single" w:sz="4" w:space="0" w:color="auto"/>
              <w:left w:val="nil"/>
              <w:right w:val="nil"/>
            </w:tcBorders>
            <w:shd w:val="clear" w:color="auto" w:fill="auto"/>
            <w:noWrap/>
            <w:vAlign w:val="bottom"/>
            <w:hideMark/>
          </w:tcPr>
          <w:p w:rsidR="00BD02D4" w:rsidRPr="00D440C9" w:rsidRDefault="00BD02D4" w:rsidP="00991C20">
            <w:pPr>
              <w:rPr>
                <w:rFonts w:ascii="Arial" w:hAnsi="Arial" w:cs="Arial"/>
                <w:sz w:val="18"/>
                <w:szCs w:val="18"/>
                <w:lang w:val="en-GB" w:eastAsia="en-GB"/>
              </w:rPr>
            </w:pPr>
          </w:p>
        </w:tc>
        <w:tc>
          <w:tcPr>
            <w:tcW w:w="1134" w:type="dxa"/>
            <w:tcBorders>
              <w:top w:val="single" w:sz="4" w:space="0" w:color="auto"/>
              <w:left w:val="nil"/>
              <w:right w:val="nil"/>
            </w:tcBorders>
            <w:shd w:val="clear" w:color="auto" w:fill="auto"/>
            <w:noWrap/>
            <w:vAlign w:val="bottom"/>
            <w:hideMark/>
          </w:tcPr>
          <w:p w:rsidR="00BD02D4" w:rsidRPr="00D440C9" w:rsidRDefault="00BD02D4" w:rsidP="00991C20">
            <w:pPr>
              <w:rPr>
                <w:rFonts w:ascii="Arial" w:hAnsi="Arial" w:cs="Arial"/>
                <w:sz w:val="18"/>
                <w:szCs w:val="18"/>
                <w:lang w:val="en-GB" w:eastAsia="en-GB"/>
              </w:rPr>
            </w:pPr>
          </w:p>
        </w:tc>
        <w:tc>
          <w:tcPr>
            <w:tcW w:w="1134" w:type="dxa"/>
            <w:tcBorders>
              <w:top w:val="single" w:sz="4" w:space="0" w:color="auto"/>
              <w:left w:val="nil"/>
              <w:right w:val="nil"/>
            </w:tcBorders>
            <w:shd w:val="clear" w:color="auto" w:fill="auto"/>
            <w:noWrap/>
            <w:vAlign w:val="bottom"/>
            <w:hideMark/>
          </w:tcPr>
          <w:p w:rsidR="00BD02D4" w:rsidRPr="00D440C9" w:rsidRDefault="00BD02D4" w:rsidP="00991C20">
            <w:pPr>
              <w:rPr>
                <w:rFonts w:ascii="Arial" w:hAnsi="Arial" w:cs="Arial"/>
                <w:sz w:val="18"/>
                <w:szCs w:val="18"/>
                <w:lang w:val="en-GB" w:eastAsia="en-GB"/>
              </w:rPr>
            </w:pPr>
          </w:p>
        </w:tc>
        <w:tc>
          <w:tcPr>
            <w:tcW w:w="1559" w:type="dxa"/>
            <w:tcBorders>
              <w:top w:val="single" w:sz="4" w:space="0" w:color="auto"/>
              <w:left w:val="nil"/>
              <w:right w:val="nil"/>
            </w:tcBorders>
            <w:shd w:val="clear" w:color="auto" w:fill="auto"/>
            <w:noWrap/>
            <w:vAlign w:val="bottom"/>
            <w:hideMark/>
          </w:tcPr>
          <w:p w:rsidR="00BD02D4" w:rsidRPr="00D440C9" w:rsidRDefault="00BD02D4" w:rsidP="00991C20">
            <w:pPr>
              <w:jc w:val="right"/>
              <w:rPr>
                <w:rFonts w:ascii="Arial" w:hAnsi="Arial" w:cs="Arial"/>
                <w:sz w:val="18"/>
                <w:szCs w:val="18"/>
                <w:lang w:val="en-GB" w:eastAsia="en-GB"/>
              </w:rPr>
            </w:pPr>
          </w:p>
        </w:tc>
        <w:tc>
          <w:tcPr>
            <w:tcW w:w="992" w:type="dxa"/>
            <w:tcBorders>
              <w:top w:val="single" w:sz="4" w:space="0" w:color="auto"/>
              <w:left w:val="nil"/>
              <w:right w:val="nil"/>
            </w:tcBorders>
          </w:tcPr>
          <w:p w:rsidR="00BD02D4" w:rsidRPr="00D440C9" w:rsidRDefault="00BD02D4" w:rsidP="00991C20">
            <w:pPr>
              <w:jc w:val="right"/>
              <w:rPr>
                <w:rFonts w:ascii="Arial" w:hAnsi="Arial" w:cs="Arial"/>
                <w:b/>
                <w:bCs/>
                <w:sz w:val="18"/>
                <w:szCs w:val="18"/>
                <w:lang w:val="en-GB" w:eastAsia="en-GB"/>
              </w:rPr>
            </w:pPr>
          </w:p>
        </w:tc>
        <w:tc>
          <w:tcPr>
            <w:tcW w:w="992" w:type="dxa"/>
            <w:tcBorders>
              <w:top w:val="single" w:sz="4" w:space="0" w:color="auto"/>
              <w:left w:val="nil"/>
              <w:right w:val="nil"/>
            </w:tcBorders>
            <w:shd w:val="clear" w:color="auto" w:fill="auto"/>
            <w:noWrap/>
            <w:vAlign w:val="bottom"/>
            <w:hideMark/>
          </w:tcPr>
          <w:p w:rsidR="00BD02D4" w:rsidRPr="00D440C9" w:rsidRDefault="00BD02D4" w:rsidP="00991C20">
            <w:pPr>
              <w:jc w:val="right"/>
              <w:rPr>
                <w:rFonts w:ascii="Arial" w:hAnsi="Arial" w:cs="Arial"/>
                <w:b/>
                <w:bCs/>
                <w:sz w:val="18"/>
                <w:szCs w:val="18"/>
                <w:lang w:val="en-GB" w:eastAsia="en-GB"/>
              </w:rPr>
            </w:pPr>
          </w:p>
        </w:tc>
      </w:tr>
      <w:tr w:rsidR="00BD02D4" w:rsidRPr="00D440C9" w:rsidTr="00BD02D4">
        <w:trPr>
          <w:trHeight w:val="255"/>
        </w:trPr>
        <w:tc>
          <w:tcPr>
            <w:tcW w:w="2977" w:type="dxa"/>
            <w:tcBorders>
              <w:top w:val="nil"/>
              <w:left w:val="nil"/>
              <w:bottom w:val="single" w:sz="8" w:space="0" w:color="auto"/>
              <w:right w:val="nil"/>
            </w:tcBorders>
            <w:shd w:val="clear" w:color="auto" w:fill="auto"/>
            <w:vAlign w:val="bottom"/>
            <w:hideMark/>
          </w:tcPr>
          <w:p w:rsidR="00BD02D4" w:rsidRPr="00D440C9" w:rsidRDefault="00BD02D4" w:rsidP="00CB431C">
            <w:pPr>
              <w:rPr>
                <w:rFonts w:ascii="Arial" w:hAnsi="Arial" w:cs="Arial"/>
                <w:b/>
                <w:bCs/>
                <w:sz w:val="18"/>
                <w:szCs w:val="18"/>
                <w:lang w:val="en-GB" w:eastAsia="en-GB"/>
              </w:rPr>
            </w:pPr>
            <w:r>
              <w:rPr>
                <w:rFonts w:ascii="Arial" w:hAnsi="Arial" w:cs="Arial"/>
                <w:b/>
                <w:bCs/>
                <w:sz w:val="18"/>
                <w:szCs w:val="18"/>
                <w:lang w:val="en-GB" w:eastAsia="en-GB"/>
              </w:rPr>
              <w:t>201</w:t>
            </w:r>
            <w:r w:rsidR="00CB431C">
              <w:rPr>
                <w:rFonts w:ascii="Arial" w:hAnsi="Arial" w:cs="Arial"/>
                <w:b/>
                <w:bCs/>
                <w:sz w:val="18"/>
                <w:szCs w:val="18"/>
                <w:lang w:val="en-GB" w:eastAsia="en-GB"/>
              </w:rPr>
              <w:t>2</w:t>
            </w:r>
          </w:p>
        </w:tc>
        <w:tc>
          <w:tcPr>
            <w:tcW w:w="1276" w:type="dxa"/>
            <w:gridSpan w:val="2"/>
            <w:tcBorders>
              <w:top w:val="nil"/>
              <w:left w:val="nil"/>
              <w:bottom w:val="single" w:sz="8" w:space="0" w:color="auto"/>
              <w:right w:val="nil"/>
            </w:tcBorders>
            <w:shd w:val="clear" w:color="auto" w:fill="auto"/>
            <w:noWrap/>
            <w:vAlign w:val="bottom"/>
            <w:hideMark/>
          </w:tcPr>
          <w:p w:rsidR="00BD02D4" w:rsidRPr="00D440C9" w:rsidRDefault="00BD02D4"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134" w:type="dxa"/>
            <w:tcBorders>
              <w:top w:val="nil"/>
              <w:left w:val="nil"/>
              <w:bottom w:val="single" w:sz="8" w:space="0" w:color="auto"/>
              <w:right w:val="nil"/>
            </w:tcBorders>
            <w:shd w:val="clear" w:color="auto" w:fill="auto"/>
            <w:noWrap/>
            <w:vAlign w:val="bottom"/>
            <w:hideMark/>
          </w:tcPr>
          <w:p w:rsidR="00BD02D4" w:rsidRPr="00D440C9" w:rsidRDefault="00BD02D4" w:rsidP="00991C20">
            <w:pPr>
              <w:jc w:val="right"/>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134" w:type="dxa"/>
            <w:tcBorders>
              <w:top w:val="nil"/>
              <w:left w:val="nil"/>
              <w:bottom w:val="single" w:sz="8" w:space="0" w:color="auto"/>
              <w:right w:val="nil"/>
            </w:tcBorders>
            <w:shd w:val="clear" w:color="auto" w:fill="auto"/>
            <w:noWrap/>
            <w:vAlign w:val="bottom"/>
            <w:hideMark/>
          </w:tcPr>
          <w:p w:rsidR="00BD02D4" w:rsidRPr="00D440C9" w:rsidRDefault="00BD02D4" w:rsidP="00991C20">
            <w:pPr>
              <w:jc w:val="right"/>
              <w:rPr>
                <w:rFonts w:ascii="Arial" w:hAnsi="Arial" w:cs="Arial"/>
                <w:sz w:val="18"/>
                <w:szCs w:val="18"/>
                <w:lang w:val="en-GB" w:eastAsia="en-GB"/>
              </w:rPr>
            </w:pPr>
            <w:r w:rsidRPr="00D440C9">
              <w:rPr>
                <w:rFonts w:ascii="Arial" w:hAnsi="Arial" w:cs="Arial"/>
                <w:sz w:val="18"/>
                <w:szCs w:val="18"/>
                <w:lang w:val="en-GB" w:eastAsia="en-GB"/>
              </w:rPr>
              <w:t> </w:t>
            </w:r>
          </w:p>
        </w:tc>
        <w:tc>
          <w:tcPr>
            <w:tcW w:w="1559" w:type="dxa"/>
            <w:tcBorders>
              <w:top w:val="nil"/>
              <w:left w:val="nil"/>
              <w:bottom w:val="single" w:sz="8" w:space="0" w:color="auto"/>
              <w:right w:val="nil"/>
            </w:tcBorders>
            <w:shd w:val="clear" w:color="auto" w:fill="auto"/>
            <w:noWrap/>
            <w:vAlign w:val="bottom"/>
            <w:hideMark/>
          </w:tcPr>
          <w:p w:rsidR="00BD02D4" w:rsidRPr="00D440C9" w:rsidRDefault="00BD02D4" w:rsidP="00991C20">
            <w:pPr>
              <w:jc w:val="right"/>
              <w:rPr>
                <w:rFonts w:ascii="Arial" w:hAnsi="Arial" w:cs="Arial"/>
                <w:sz w:val="18"/>
                <w:szCs w:val="18"/>
                <w:lang w:val="en-GB" w:eastAsia="en-GB"/>
              </w:rPr>
            </w:pPr>
            <w:r w:rsidRPr="00D440C9">
              <w:rPr>
                <w:rFonts w:ascii="Arial" w:hAnsi="Arial" w:cs="Arial"/>
                <w:sz w:val="18"/>
                <w:szCs w:val="18"/>
                <w:lang w:val="en-GB" w:eastAsia="en-GB"/>
              </w:rPr>
              <w:t> </w:t>
            </w:r>
          </w:p>
        </w:tc>
        <w:tc>
          <w:tcPr>
            <w:tcW w:w="992" w:type="dxa"/>
            <w:tcBorders>
              <w:top w:val="nil"/>
              <w:left w:val="nil"/>
              <w:bottom w:val="single" w:sz="8" w:space="0" w:color="auto"/>
              <w:right w:val="nil"/>
            </w:tcBorders>
          </w:tcPr>
          <w:p w:rsidR="00BD02D4" w:rsidRPr="00D440C9" w:rsidRDefault="00BD02D4" w:rsidP="00991C20">
            <w:pPr>
              <w:rPr>
                <w:rFonts w:ascii="Arial" w:hAnsi="Arial" w:cs="Arial"/>
                <w:sz w:val="18"/>
                <w:szCs w:val="18"/>
                <w:lang w:val="en-GB" w:eastAsia="en-GB"/>
              </w:rPr>
            </w:pPr>
          </w:p>
        </w:tc>
        <w:tc>
          <w:tcPr>
            <w:tcW w:w="992" w:type="dxa"/>
            <w:tcBorders>
              <w:top w:val="nil"/>
              <w:left w:val="nil"/>
              <w:bottom w:val="single" w:sz="8" w:space="0" w:color="auto"/>
              <w:right w:val="nil"/>
            </w:tcBorders>
            <w:shd w:val="clear" w:color="auto" w:fill="auto"/>
            <w:vAlign w:val="bottom"/>
            <w:hideMark/>
          </w:tcPr>
          <w:p w:rsidR="00BD02D4" w:rsidRPr="00D440C9" w:rsidRDefault="00BD02D4" w:rsidP="00991C20">
            <w:pPr>
              <w:rPr>
                <w:rFonts w:ascii="Arial" w:hAnsi="Arial" w:cs="Arial"/>
                <w:sz w:val="18"/>
                <w:szCs w:val="18"/>
                <w:lang w:val="en-GB" w:eastAsia="en-GB"/>
              </w:rPr>
            </w:pPr>
            <w:r w:rsidRPr="00D440C9">
              <w:rPr>
                <w:rFonts w:ascii="Arial" w:hAnsi="Arial" w:cs="Arial"/>
                <w:sz w:val="18"/>
                <w:szCs w:val="18"/>
                <w:lang w:val="en-GB" w:eastAsia="en-GB"/>
              </w:rPr>
              <w:t> </w:t>
            </w:r>
          </w:p>
        </w:tc>
      </w:tr>
      <w:tr w:rsidR="00CB431C" w:rsidRPr="00D440C9" w:rsidTr="00DD7978">
        <w:trPr>
          <w:trHeight w:val="240"/>
        </w:trPr>
        <w:tc>
          <w:tcPr>
            <w:tcW w:w="2977" w:type="dxa"/>
            <w:tcBorders>
              <w:top w:val="nil"/>
              <w:left w:val="nil"/>
              <w:bottom w:val="single" w:sz="4" w:space="0" w:color="auto"/>
              <w:right w:val="nil"/>
            </w:tcBorders>
            <w:shd w:val="clear" w:color="auto" w:fill="auto"/>
            <w:noWrap/>
            <w:vAlign w:val="bottom"/>
            <w:hideMark/>
          </w:tcPr>
          <w:p w:rsidR="00CB431C" w:rsidRPr="00D440C9" w:rsidRDefault="00CB431C" w:rsidP="00DD7978">
            <w:pPr>
              <w:rPr>
                <w:rFonts w:ascii="Arial" w:hAnsi="Arial" w:cs="Arial"/>
                <w:b/>
                <w:bCs/>
                <w:sz w:val="18"/>
                <w:szCs w:val="18"/>
                <w:lang w:val="en-GB" w:eastAsia="en-GB"/>
              </w:rPr>
            </w:pPr>
            <w:r w:rsidRPr="00D440C9">
              <w:rPr>
                <w:rFonts w:ascii="Arial" w:hAnsi="Arial" w:cs="Arial"/>
                <w:b/>
                <w:bCs/>
                <w:sz w:val="18"/>
                <w:szCs w:val="18"/>
                <w:lang w:val="en-GB" w:eastAsia="en-GB"/>
              </w:rPr>
              <w:t>Revenue</w:t>
            </w:r>
          </w:p>
        </w:tc>
        <w:tc>
          <w:tcPr>
            <w:tcW w:w="1276" w:type="dxa"/>
            <w:gridSpan w:val="2"/>
            <w:tcBorders>
              <w:top w:val="nil"/>
              <w:left w:val="nil"/>
              <w:bottom w:val="single" w:sz="4" w:space="0" w:color="auto"/>
              <w:right w:val="nil"/>
            </w:tcBorders>
            <w:shd w:val="clear" w:color="auto" w:fill="auto"/>
            <w:noWrap/>
            <w:vAlign w:val="bottom"/>
            <w:hideMark/>
          </w:tcPr>
          <w:p w:rsidR="00CB431C" w:rsidRDefault="00CB431C" w:rsidP="00DD7978">
            <w:pPr>
              <w:jc w:val="right"/>
              <w:rPr>
                <w:rFonts w:ascii="Arial" w:hAnsi="Arial" w:cs="Arial"/>
                <w:b/>
                <w:bCs/>
                <w:sz w:val="18"/>
                <w:szCs w:val="18"/>
              </w:rPr>
            </w:pPr>
            <w:r>
              <w:rPr>
                <w:rFonts w:ascii="Arial" w:hAnsi="Arial" w:cs="Arial"/>
                <w:b/>
                <w:bCs/>
                <w:sz w:val="18"/>
                <w:szCs w:val="18"/>
              </w:rPr>
              <w:t>49,813</w:t>
            </w:r>
          </w:p>
        </w:tc>
        <w:tc>
          <w:tcPr>
            <w:tcW w:w="1134" w:type="dxa"/>
            <w:tcBorders>
              <w:top w:val="nil"/>
              <w:left w:val="nil"/>
              <w:bottom w:val="single" w:sz="4" w:space="0" w:color="auto"/>
              <w:right w:val="nil"/>
            </w:tcBorders>
            <w:shd w:val="clear" w:color="auto" w:fill="auto"/>
            <w:noWrap/>
            <w:vAlign w:val="bottom"/>
            <w:hideMark/>
          </w:tcPr>
          <w:p w:rsidR="00CB431C" w:rsidRDefault="00CB431C" w:rsidP="00DD7978">
            <w:pPr>
              <w:jc w:val="right"/>
              <w:rPr>
                <w:rFonts w:ascii="Arial" w:hAnsi="Arial" w:cs="Arial"/>
                <w:b/>
                <w:bCs/>
                <w:sz w:val="18"/>
                <w:szCs w:val="18"/>
              </w:rPr>
            </w:pPr>
            <w:r>
              <w:rPr>
                <w:rFonts w:ascii="Arial" w:hAnsi="Arial" w:cs="Arial"/>
                <w:b/>
                <w:bCs/>
                <w:sz w:val="18"/>
                <w:szCs w:val="18"/>
              </w:rPr>
              <w:t>31,954</w:t>
            </w:r>
          </w:p>
        </w:tc>
        <w:tc>
          <w:tcPr>
            <w:tcW w:w="1134" w:type="dxa"/>
            <w:tcBorders>
              <w:top w:val="nil"/>
              <w:left w:val="nil"/>
              <w:bottom w:val="single" w:sz="4" w:space="0" w:color="auto"/>
              <w:right w:val="nil"/>
            </w:tcBorders>
            <w:shd w:val="clear" w:color="auto" w:fill="auto"/>
            <w:noWrap/>
            <w:vAlign w:val="bottom"/>
            <w:hideMark/>
          </w:tcPr>
          <w:p w:rsidR="00CB431C" w:rsidRDefault="00CB431C" w:rsidP="00DD7978">
            <w:pPr>
              <w:jc w:val="right"/>
              <w:rPr>
                <w:rFonts w:ascii="Arial" w:hAnsi="Arial" w:cs="Arial"/>
                <w:b/>
                <w:bCs/>
                <w:sz w:val="18"/>
                <w:szCs w:val="18"/>
              </w:rPr>
            </w:pPr>
            <w:r>
              <w:rPr>
                <w:rFonts w:ascii="Arial" w:hAnsi="Arial" w:cs="Arial"/>
                <w:b/>
                <w:bCs/>
                <w:sz w:val="18"/>
                <w:szCs w:val="18"/>
              </w:rPr>
              <w:t>37,630</w:t>
            </w:r>
          </w:p>
        </w:tc>
        <w:tc>
          <w:tcPr>
            <w:tcW w:w="1559" w:type="dxa"/>
            <w:tcBorders>
              <w:top w:val="nil"/>
              <w:left w:val="nil"/>
              <w:bottom w:val="single" w:sz="4" w:space="0" w:color="auto"/>
              <w:right w:val="nil"/>
            </w:tcBorders>
            <w:shd w:val="clear" w:color="auto" w:fill="auto"/>
            <w:noWrap/>
            <w:vAlign w:val="bottom"/>
            <w:hideMark/>
          </w:tcPr>
          <w:p w:rsidR="00CB431C" w:rsidRDefault="00CB431C" w:rsidP="00DD7978">
            <w:pPr>
              <w:jc w:val="right"/>
              <w:rPr>
                <w:rFonts w:ascii="Arial" w:hAnsi="Arial" w:cs="Arial"/>
                <w:b/>
                <w:bCs/>
                <w:sz w:val="18"/>
                <w:szCs w:val="18"/>
              </w:rPr>
            </w:pPr>
            <w:r>
              <w:rPr>
                <w:rFonts w:ascii="Arial" w:hAnsi="Arial" w:cs="Arial"/>
                <w:b/>
                <w:bCs/>
                <w:sz w:val="18"/>
                <w:szCs w:val="18"/>
              </w:rPr>
              <w:t>14,529</w:t>
            </w:r>
          </w:p>
        </w:tc>
        <w:tc>
          <w:tcPr>
            <w:tcW w:w="992" w:type="dxa"/>
            <w:tcBorders>
              <w:top w:val="nil"/>
              <w:left w:val="nil"/>
              <w:bottom w:val="single" w:sz="4" w:space="0" w:color="auto"/>
              <w:right w:val="nil"/>
            </w:tcBorders>
            <w:vAlign w:val="bottom"/>
          </w:tcPr>
          <w:p w:rsidR="00CB431C" w:rsidRDefault="00CB431C" w:rsidP="00DD7978">
            <w:pPr>
              <w:jc w:val="right"/>
              <w:rPr>
                <w:rFonts w:ascii="Arial" w:hAnsi="Arial" w:cs="Arial"/>
                <w:b/>
                <w:bCs/>
                <w:sz w:val="18"/>
                <w:szCs w:val="18"/>
              </w:rPr>
            </w:pPr>
            <w:r>
              <w:rPr>
                <w:rFonts w:ascii="Arial" w:hAnsi="Arial" w:cs="Arial"/>
                <w:b/>
                <w:bCs/>
                <w:sz w:val="18"/>
                <w:szCs w:val="18"/>
              </w:rPr>
              <w:t>(452)</w:t>
            </w:r>
          </w:p>
        </w:tc>
        <w:tc>
          <w:tcPr>
            <w:tcW w:w="992" w:type="dxa"/>
            <w:tcBorders>
              <w:top w:val="nil"/>
              <w:left w:val="nil"/>
              <w:bottom w:val="single" w:sz="4" w:space="0" w:color="auto"/>
              <w:right w:val="nil"/>
            </w:tcBorders>
            <w:shd w:val="clear" w:color="auto" w:fill="auto"/>
            <w:noWrap/>
            <w:vAlign w:val="bottom"/>
            <w:hideMark/>
          </w:tcPr>
          <w:p w:rsidR="00CB431C" w:rsidRDefault="00CB431C" w:rsidP="00DD7978">
            <w:pPr>
              <w:jc w:val="right"/>
              <w:rPr>
                <w:rFonts w:ascii="Arial" w:hAnsi="Arial" w:cs="Arial"/>
                <w:b/>
                <w:bCs/>
                <w:sz w:val="18"/>
                <w:szCs w:val="18"/>
              </w:rPr>
            </w:pPr>
            <w:r>
              <w:rPr>
                <w:rFonts w:ascii="Arial" w:hAnsi="Arial" w:cs="Arial"/>
                <w:b/>
                <w:bCs/>
                <w:sz w:val="18"/>
                <w:szCs w:val="18"/>
              </w:rPr>
              <w:t>133,474</w:t>
            </w:r>
          </w:p>
        </w:tc>
      </w:tr>
      <w:tr w:rsidR="00CB431C" w:rsidRPr="00D440C9" w:rsidTr="00BD02D4">
        <w:trPr>
          <w:trHeight w:val="240"/>
        </w:trPr>
        <w:tc>
          <w:tcPr>
            <w:tcW w:w="2977" w:type="dxa"/>
            <w:tcBorders>
              <w:top w:val="nil"/>
              <w:left w:val="nil"/>
              <w:bottom w:val="nil"/>
              <w:right w:val="nil"/>
            </w:tcBorders>
            <w:shd w:val="clear" w:color="auto" w:fill="auto"/>
            <w:noWrap/>
            <w:vAlign w:val="bottom"/>
            <w:hideMark/>
          </w:tcPr>
          <w:p w:rsidR="00CB431C" w:rsidRPr="00D440C9" w:rsidRDefault="00CB431C" w:rsidP="00DD7978">
            <w:pPr>
              <w:rPr>
                <w:rFonts w:ascii="Arial" w:hAnsi="Arial" w:cs="Arial"/>
                <w:b/>
                <w:bCs/>
                <w:sz w:val="18"/>
                <w:szCs w:val="18"/>
                <w:lang w:val="en-GB" w:eastAsia="en-GB"/>
              </w:rPr>
            </w:pPr>
          </w:p>
        </w:tc>
        <w:tc>
          <w:tcPr>
            <w:tcW w:w="1276" w:type="dxa"/>
            <w:gridSpan w:val="2"/>
            <w:tcBorders>
              <w:top w:val="nil"/>
              <w:left w:val="nil"/>
              <w:bottom w:val="nil"/>
              <w:right w:val="nil"/>
            </w:tcBorders>
            <w:shd w:val="clear" w:color="auto" w:fill="auto"/>
            <w:noWrap/>
            <w:vAlign w:val="bottom"/>
            <w:hideMark/>
          </w:tcPr>
          <w:p w:rsidR="00CB431C" w:rsidRPr="00D440C9" w:rsidRDefault="00CB431C" w:rsidP="00DD7978">
            <w:pPr>
              <w:jc w:val="right"/>
              <w:rPr>
                <w:rFonts w:ascii="Arial" w:hAnsi="Arial" w:cs="Arial"/>
                <w:sz w:val="18"/>
                <w:szCs w:val="18"/>
                <w:lang w:val="en-GB" w:eastAsia="en-GB"/>
              </w:rPr>
            </w:pPr>
          </w:p>
        </w:tc>
        <w:tc>
          <w:tcPr>
            <w:tcW w:w="1134" w:type="dxa"/>
            <w:tcBorders>
              <w:top w:val="nil"/>
              <w:left w:val="nil"/>
              <w:bottom w:val="nil"/>
              <w:right w:val="nil"/>
            </w:tcBorders>
            <w:shd w:val="clear" w:color="auto" w:fill="auto"/>
            <w:noWrap/>
            <w:vAlign w:val="bottom"/>
            <w:hideMark/>
          </w:tcPr>
          <w:p w:rsidR="00CB431C" w:rsidRPr="00D440C9" w:rsidRDefault="00CB431C" w:rsidP="00DD7978">
            <w:pPr>
              <w:jc w:val="right"/>
              <w:rPr>
                <w:rFonts w:ascii="Arial" w:hAnsi="Arial" w:cs="Arial"/>
                <w:sz w:val="18"/>
                <w:szCs w:val="18"/>
                <w:lang w:val="en-GB" w:eastAsia="en-GB"/>
              </w:rPr>
            </w:pPr>
          </w:p>
        </w:tc>
        <w:tc>
          <w:tcPr>
            <w:tcW w:w="1134" w:type="dxa"/>
            <w:tcBorders>
              <w:top w:val="nil"/>
              <w:left w:val="nil"/>
              <w:bottom w:val="nil"/>
              <w:right w:val="nil"/>
            </w:tcBorders>
            <w:shd w:val="clear" w:color="auto" w:fill="auto"/>
            <w:noWrap/>
            <w:vAlign w:val="bottom"/>
            <w:hideMark/>
          </w:tcPr>
          <w:p w:rsidR="00CB431C" w:rsidRPr="00D440C9" w:rsidRDefault="00CB431C" w:rsidP="00DD7978">
            <w:pPr>
              <w:jc w:val="right"/>
              <w:rPr>
                <w:rFonts w:ascii="Arial" w:hAnsi="Arial" w:cs="Arial"/>
                <w:sz w:val="18"/>
                <w:szCs w:val="18"/>
                <w:lang w:val="en-GB" w:eastAsia="en-GB"/>
              </w:rPr>
            </w:pPr>
          </w:p>
        </w:tc>
        <w:tc>
          <w:tcPr>
            <w:tcW w:w="1559" w:type="dxa"/>
            <w:tcBorders>
              <w:top w:val="nil"/>
              <w:left w:val="nil"/>
              <w:bottom w:val="nil"/>
              <w:right w:val="nil"/>
            </w:tcBorders>
            <w:shd w:val="clear" w:color="auto" w:fill="auto"/>
            <w:noWrap/>
            <w:vAlign w:val="bottom"/>
            <w:hideMark/>
          </w:tcPr>
          <w:p w:rsidR="00CB431C" w:rsidRPr="00D440C9" w:rsidRDefault="00CB431C" w:rsidP="00DD7978">
            <w:pPr>
              <w:jc w:val="right"/>
              <w:rPr>
                <w:rFonts w:ascii="Arial" w:hAnsi="Arial" w:cs="Arial"/>
                <w:sz w:val="18"/>
                <w:szCs w:val="18"/>
                <w:lang w:val="en-GB" w:eastAsia="en-GB"/>
              </w:rPr>
            </w:pPr>
          </w:p>
        </w:tc>
        <w:tc>
          <w:tcPr>
            <w:tcW w:w="992" w:type="dxa"/>
            <w:tcBorders>
              <w:top w:val="nil"/>
              <w:left w:val="nil"/>
              <w:bottom w:val="nil"/>
              <w:right w:val="nil"/>
            </w:tcBorders>
          </w:tcPr>
          <w:p w:rsidR="00CB431C" w:rsidRPr="00D440C9" w:rsidRDefault="00CB431C" w:rsidP="00DD7978">
            <w:pPr>
              <w:jc w:val="right"/>
              <w:rPr>
                <w:rFonts w:ascii="Arial" w:hAnsi="Arial" w:cs="Arial"/>
                <w:sz w:val="18"/>
                <w:szCs w:val="18"/>
                <w:lang w:val="en-GB" w:eastAsia="en-GB"/>
              </w:rPr>
            </w:pPr>
          </w:p>
        </w:tc>
        <w:tc>
          <w:tcPr>
            <w:tcW w:w="992" w:type="dxa"/>
            <w:tcBorders>
              <w:top w:val="nil"/>
              <w:left w:val="nil"/>
              <w:bottom w:val="nil"/>
              <w:right w:val="nil"/>
            </w:tcBorders>
            <w:shd w:val="clear" w:color="auto" w:fill="auto"/>
            <w:noWrap/>
            <w:vAlign w:val="bottom"/>
            <w:hideMark/>
          </w:tcPr>
          <w:p w:rsidR="00CB431C" w:rsidRPr="00D440C9" w:rsidRDefault="00CB431C" w:rsidP="00DD7978">
            <w:pPr>
              <w:jc w:val="right"/>
              <w:rPr>
                <w:rFonts w:ascii="Arial" w:hAnsi="Arial" w:cs="Arial"/>
                <w:sz w:val="18"/>
                <w:szCs w:val="18"/>
                <w:lang w:val="en-GB" w:eastAsia="en-GB"/>
              </w:rPr>
            </w:pPr>
          </w:p>
        </w:tc>
      </w:tr>
      <w:tr w:rsidR="00CB431C" w:rsidRPr="00D440C9" w:rsidTr="00DD7978">
        <w:trPr>
          <w:trHeight w:val="240"/>
        </w:trPr>
        <w:tc>
          <w:tcPr>
            <w:tcW w:w="2977" w:type="dxa"/>
            <w:tcBorders>
              <w:top w:val="nil"/>
              <w:left w:val="nil"/>
              <w:bottom w:val="nil"/>
              <w:right w:val="nil"/>
            </w:tcBorders>
            <w:shd w:val="clear" w:color="auto" w:fill="auto"/>
            <w:noWrap/>
            <w:vAlign w:val="bottom"/>
            <w:hideMark/>
          </w:tcPr>
          <w:p w:rsidR="00CB431C" w:rsidRPr="00D440C9" w:rsidRDefault="00CB431C" w:rsidP="00DD7978">
            <w:pPr>
              <w:rPr>
                <w:rFonts w:ascii="Arial" w:hAnsi="Arial" w:cs="Arial"/>
                <w:sz w:val="18"/>
                <w:szCs w:val="18"/>
                <w:lang w:val="en-GB" w:eastAsia="en-GB"/>
              </w:rPr>
            </w:pPr>
            <w:r>
              <w:rPr>
                <w:rFonts w:ascii="Arial" w:hAnsi="Arial" w:cs="Arial"/>
                <w:sz w:val="18"/>
                <w:szCs w:val="18"/>
                <w:lang w:val="en-GB" w:eastAsia="en-GB"/>
              </w:rPr>
              <w:t>Divisional operating profit</w:t>
            </w:r>
          </w:p>
        </w:tc>
        <w:tc>
          <w:tcPr>
            <w:tcW w:w="1276" w:type="dxa"/>
            <w:gridSpan w:val="2"/>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7,121</w:t>
            </w:r>
          </w:p>
        </w:tc>
        <w:tc>
          <w:tcPr>
            <w:tcW w:w="1134" w:type="dxa"/>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1,833</w:t>
            </w:r>
          </w:p>
        </w:tc>
        <w:tc>
          <w:tcPr>
            <w:tcW w:w="1134" w:type="dxa"/>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1,888</w:t>
            </w:r>
          </w:p>
        </w:tc>
        <w:tc>
          <w:tcPr>
            <w:tcW w:w="1559" w:type="dxa"/>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1,857</w:t>
            </w:r>
          </w:p>
        </w:tc>
        <w:tc>
          <w:tcPr>
            <w:tcW w:w="992" w:type="dxa"/>
            <w:tcBorders>
              <w:top w:val="nil"/>
              <w:left w:val="nil"/>
              <w:bottom w:val="nil"/>
              <w:right w:val="nil"/>
            </w:tcBorders>
            <w:vAlign w:val="bottom"/>
          </w:tcPr>
          <w:p w:rsidR="00CB431C" w:rsidRDefault="00CB431C" w:rsidP="00DD7978">
            <w:pPr>
              <w:jc w:val="right"/>
              <w:rPr>
                <w:rFonts w:ascii="Arial" w:hAnsi="Arial" w:cs="Arial"/>
                <w:sz w:val="18"/>
                <w:szCs w:val="18"/>
              </w:rPr>
            </w:pPr>
            <w:r>
              <w:rPr>
                <w:rFonts w:ascii="Arial" w:hAnsi="Arial" w:cs="Arial"/>
                <w:sz w:val="18"/>
                <w:szCs w:val="18"/>
              </w:rPr>
              <w:t>-</w:t>
            </w:r>
          </w:p>
        </w:tc>
        <w:tc>
          <w:tcPr>
            <w:tcW w:w="992" w:type="dxa"/>
            <w:tcBorders>
              <w:top w:val="nil"/>
              <w:left w:val="nil"/>
              <w:bottom w:val="nil"/>
              <w:right w:val="nil"/>
            </w:tcBorders>
            <w:shd w:val="clear" w:color="auto" w:fill="auto"/>
            <w:noWrap/>
            <w:vAlign w:val="bottom"/>
            <w:hideMark/>
          </w:tcPr>
          <w:p w:rsidR="00CB431C" w:rsidRPr="00BD02D4" w:rsidRDefault="00CB431C" w:rsidP="00DD7978">
            <w:pPr>
              <w:jc w:val="right"/>
              <w:rPr>
                <w:rFonts w:ascii="Arial" w:hAnsi="Arial" w:cs="Arial"/>
                <w:b/>
                <w:sz w:val="18"/>
                <w:szCs w:val="18"/>
              </w:rPr>
            </w:pPr>
            <w:r w:rsidRPr="00BD02D4">
              <w:rPr>
                <w:rFonts w:ascii="Arial" w:hAnsi="Arial" w:cs="Arial"/>
                <w:b/>
                <w:sz w:val="18"/>
                <w:szCs w:val="18"/>
              </w:rPr>
              <w:t>1</w:t>
            </w:r>
            <w:r>
              <w:rPr>
                <w:rFonts w:ascii="Arial" w:hAnsi="Arial" w:cs="Arial"/>
                <w:b/>
                <w:sz w:val="18"/>
                <w:szCs w:val="18"/>
              </w:rPr>
              <w:t>2</w:t>
            </w:r>
            <w:r w:rsidRPr="00BD02D4">
              <w:rPr>
                <w:rFonts w:ascii="Arial" w:hAnsi="Arial" w:cs="Arial"/>
                <w:b/>
                <w:sz w:val="18"/>
                <w:szCs w:val="18"/>
              </w:rPr>
              <w:t>,</w:t>
            </w:r>
            <w:r>
              <w:rPr>
                <w:rFonts w:ascii="Arial" w:hAnsi="Arial" w:cs="Arial"/>
                <w:b/>
                <w:sz w:val="18"/>
                <w:szCs w:val="18"/>
              </w:rPr>
              <w:t>699</w:t>
            </w:r>
          </w:p>
        </w:tc>
      </w:tr>
      <w:tr w:rsidR="00CB431C" w:rsidRPr="00D440C9" w:rsidTr="00DD7978">
        <w:trPr>
          <w:trHeight w:val="240"/>
        </w:trPr>
        <w:tc>
          <w:tcPr>
            <w:tcW w:w="2977" w:type="dxa"/>
            <w:tcBorders>
              <w:top w:val="nil"/>
              <w:left w:val="nil"/>
              <w:bottom w:val="nil"/>
              <w:right w:val="nil"/>
            </w:tcBorders>
            <w:shd w:val="clear" w:color="auto" w:fill="auto"/>
            <w:noWrap/>
            <w:vAlign w:val="bottom"/>
            <w:hideMark/>
          </w:tcPr>
          <w:p w:rsidR="00CB431C" w:rsidRPr="00D440C9" w:rsidRDefault="00CB431C" w:rsidP="00DD7978">
            <w:pPr>
              <w:rPr>
                <w:rFonts w:ascii="Arial" w:hAnsi="Arial" w:cs="Arial"/>
                <w:sz w:val="18"/>
                <w:szCs w:val="18"/>
                <w:lang w:val="en-GB" w:eastAsia="en-GB"/>
              </w:rPr>
            </w:pPr>
            <w:r>
              <w:rPr>
                <w:rFonts w:ascii="Arial" w:hAnsi="Arial" w:cs="Arial"/>
                <w:sz w:val="18"/>
                <w:szCs w:val="18"/>
                <w:lang w:val="en-GB" w:eastAsia="en-GB"/>
              </w:rPr>
              <w:t>A</w:t>
            </w:r>
            <w:r w:rsidRPr="00D440C9">
              <w:rPr>
                <w:rFonts w:ascii="Arial" w:hAnsi="Arial" w:cs="Arial"/>
                <w:sz w:val="18"/>
                <w:szCs w:val="18"/>
                <w:lang w:val="en-GB" w:eastAsia="en-GB"/>
              </w:rPr>
              <w:t>mortisation of</w:t>
            </w:r>
            <w:r>
              <w:rPr>
                <w:rFonts w:ascii="Arial" w:hAnsi="Arial" w:cs="Arial"/>
                <w:sz w:val="18"/>
                <w:szCs w:val="18"/>
                <w:lang w:val="en-GB" w:eastAsia="en-GB"/>
              </w:rPr>
              <w:t xml:space="preserve"> other</w:t>
            </w:r>
            <w:r w:rsidRPr="00D440C9">
              <w:rPr>
                <w:rFonts w:ascii="Arial" w:hAnsi="Arial" w:cs="Arial"/>
                <w:sz w:val="18"/>
                <w:szCs w:val="18"/>
                <w:lang w:val="en-GB" w:eastAsia="en-GB"/>
              </w:rPr>
              <w:t xml:space="preserve"> intangible assets</w:t>
            </w:r>
          </w:p>
        </w:tc>
        <w:tc>
          <w:tcPr>
            <w:tcW w:w="1276" w:type="dxa"/>
            <w:gridSpan w:val="2"/>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(531)</w:t>
            </w:r>
          </w:p>
        </w:tc>
        <w:tc>
          <w:tcPr>
            <w:tcW w:w="1134" w:type="dxa"/>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(838)</w:t>
            </w:r>
          </w:p>
        </w:tc>
        <w:tc>
          <w:tcPr>
            <w:tcW w:w="1134" w:type="dxa"/>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(87)</w:t>
            </w:r>
          </w:p>
        </w:tc>
        <w:tc>
          <w:tcPr>
            <w:tcW w:w="1559" w:type="dxa"/>
            <w:tcBorders>
              <w:top w:val="nil"/>
              <w:left w:val="nil"/>
              <w:bottom w:val="nil"/>
              <w:right w:val="nil"/>
            </w:tcBorders>
            <w:shd w:val="clear" w:color="auto" w:fill="auto"/>
            <w:noWrap/>
            <w:vAlign w:val="bottom"/>
            <w:hideMark/>
          </w:tcPr>
          <w:p w:rsidR="00CB431C" w:rsidRDefault="00CB431C" w:rsidP="00DD7978">
            <w:pPr>
              <w:jc w:val="right"/>
              <w:rPr>
                <w:rFonts w:ascii="Arial" w:hAnsi="Arial" w:cs="Arial"/>
                <w:sz w:val="18"/>
                <w:szCs w:val="18"/>
              </w:rPr>
            </w:pPr>
            <w:r>
              <w:rPr>
                <w:rFonts w:ascii="Arial" w:hAnsi="Arial" w:cs="Arial"/>
                <w:sz w:val="18"/>
                <w:szCs w:val="18"/>
              </w:rPr>
              <w:t>(2)</w:t>
            </w:r>
          </w:p>
        </w:tc>
        <w:tc>
          <w:tcPr>
            <w:tcW w:w="992" w:type="dxa"/>
            <w:tcBorders>
              <w:top w:val="nil"/>
              <w:left w:val="nil"/>
              <w:bottom w:val="nil"/>
              <w:right w:val="nil"/>
            </w:tcBorders>
            <w:vAlign w:val="bottom"/>
          </w:tcPr>
          <w:p w:rsidR="00CB431C" w:rsidRDefault="00CB431C" w:rsidP="00DD7978">
            <w:pPr>
              <w:jc w:val="right"/>
              <w:rPr>
                <w:rFonts w:ascii="Arial" w:hAnsi="Arial" w:cs="Arial"/>
                <w:sz w:val="18"/>
                <w:szCs w:val="18"/>
              </w:rPr>
            </w:pPr>
            <w:r>
              <w:rPr>
                <w:rFonts w:ascii="Arial" w:hAnsi="Arial" w:cs="Arial"/>
                <w:sz w:val="18"/>
                <w:szCs w:val="18"/>
              </w:rPr>
              <w:t>-</w:t>
            </w:r>
          </w:p>
        </w:tc>
        <w:tc>
          <w:tcPr>
            <w:tcW w:w="992" w:type="dxa"/>
            <w:tcBorders>
              <w:top w:val="nil"/>
              <w:left w:val="nil"/>
              <w:bottom w:val="nil"/>
              <w:right w:val="nil"/>
            </w:tcBorders>
            <w:shd w:val="clear" w:color="auto" w:fill="auto"/>
            <w:noWrap/>
            <w:vAlign w:val="bottom"/>
            <w:hideMark/>
          </w:tcPr>
          <w:p w:rsidR="00CB431C" w:rsidRPr="00BD02D4" w:rsidRDefault="00CB431C" w:rsidP="00DD7978">
            <w:pPr>
              <w:jc w:val="right"/>
              <w:rPr>
                <w:rFonts w:ascii="Arial" w:hAnsi="Arial" w:cs="Arial"/>
                <w:b/>
                <w:sz w:val="18"/>
                <w:szCs w:val="18"/>
              </w:rPr>
            </w:pPr>
            <w:r w:rsidRPr="00BD02D4">
              <w:rPr>
                <w:rFonts w:ascii="Arial" w:hAnsi="Arial" w:cs="Arial"/>
                <w:b/>
                <w:sz w:val="18"/>
                <w:szCs w:val="18"/>
              </w:rPr>
              <w:t>(1,458)</w:t>
            </w:r>
          </w:p>
        </w:tc>
      </w:tr>
      <w:tr w:rsidR="00CB431C" w:rsidRPr="00D440C9" w:rsidTr="00DD7978">
        <w:trPr>
          <w:trHeight w:val="240"/>
        </w:trPr>
        <w:tc>
          <w:tcPr>
            <w:tcW w:w="2977" w:type="dxa"/>
            <w:tcBorders>
              <w:top w:val="nil"/>
              <w:left w:val="nil"/>
              <w:bottom w:val="nil"/>
              <w:right w:val="nil"/>
            </w:tcBorders>
            <w:shd w:val="clear" w:color="auto" w:fill="auto"/>
            <w:noWrap/>
            <w:vAlign w:val="bottom"/>
          </w:tcPr>
          <w:p w:rsidR="00CB431C" w:rsidRPr="00D440C9" w:rsidRDefault="00CB431C" w:rsidP="00DD7978">
            <w:pPr>
              <w:rPr>
                <w:rFonts w:ascii="Arial" w:hAnsi="Arial" w:cs="Arial"/>
                <w:sz w:val="18"/>
                <w:szCs w:val="18"/>
                <w:lang w:val="en-GB" w:eastAsia="en-GB"/>
              </w:rPr>
            </w:pPr>
            <w:r>
              <w:rPr>
                <w:rFonts w:ascii="Arial" w:hAnsi="Arial" w:cs="Arial"/>
                <w:sz w:val="18"/>
                <w:szCs w:val="18"/>
                <w:lang w:val="en-GB" w:eastAsia="en-GB"/>
              </w:rPr>
              <w:t>Non-recurring income and expenses</w:t>
            </w:r>
          </w:p>
        </w:tc>
        <w:tc>
          <w:tcPr>
            <w:tcW w:w="1276" w:type="dxa"/>
            <w:gridSpan w:val="2"/>
            <w:tcBorders>
              <w:top w:val="nil"/>
              <w:left w:val="nil"/>
              <w:bottom w:val="nil"/>
              <w:right w:val="nil"/>
            </w:tcBorders>
            <w:shd w:val="clear" w:color="auto" w:fill="auto"/>
            <w:noWrap/>
            <w:vAlign w:val="bottom"/>
          </w:tcPr>
          <w:p w:rsidR="00CB431C" w:rsidRPr="00704A26" w:rsidRDefault="00CB431C" w:rsidP="00DD7978">
            <w:pPr>
              <w:jc w:val="right"/>
              <w:rPr>
                <w:rFonts w:ascii="Arial" w:hAnsi="Arial" w:cs="Arial"/>
                <w:sz w:val="18"/>
                <w:szCs w:val="18"/>
              </w:rPr>
            </w:pPr>
            <w:r w:rsidRPr="00704A26">
              <w:rPr>
                <w:rFonts w:ascii="Arial" w:hAnsi="Arial" w:cs="Arial"/>
                <w:sz w:val="18"/>
                <w:szCs w:val="18"/>
              </w:rPr>
              <w:t>(354)</w:t>
            </w:r>
          </w:p>
        </w:tc>
        <w:tc>
          <w:tcPr>
            <w:tcW w:w="1134" w:type="dxa"/>
            <w:tcBorders>
              <w:top w:val="nil"/>
              <w:left w:val="nil"/>
              <w:bottom w:val="nil"/>
              <w:right w:val="nil"/>
            </w:tcBorders>
            <w:shd w:val="clear" w:color="auto" w:fill="auto"/>
            <w:noWrap/>
            <w:vAlign w:val="bottom"/>
          </w:tcPr>
          <w:p w:rsidR="00CB431C" w:rsidRPr="00704A26" w:rsidRDefault="00CB431C" w:rsidP="00DD7978">
            <w:pPr>
              <w:jc w:val="right"/>
              <w:rPr>
                <w:rFonts w:ascii="Arial" w:hAnsi="Arial" w:cs="Arial"/>
                <w:sz w:val="18"/>
                <w:szCs w:val="18"/>
              </w:rPr>
            </w:pPr>
            <w:r>
              <w:rPr>
                <w:rFonts w:ascii="Arial" w:hAnsi="Arial" w:cs="Arial"/>
                <w:sz w:val="18"/>
                <w:szCs w:val="18"/>
              </w:rPr>
              <w:t>423</w:t>
            </w:r>
          </w:p>
        </w:tc>
        <w:tc>
          <w:tcPr>
            <w:tcW w:w="1134" w:type="dxa"/>
            <w:tcBorders>
              <w:top w:val="nil"/>
              <w:left w:val="nil"/>
              <w:bottom w:val="nil"/>
              <w:right w:val="nil"/>
            </w:tcBorders>
            <w:shd w:val="clear" w:color="auto" w:fill="auto"/>
            <w:noWrap/>
            <w:vAlign w:val="bottom"/>
          </w:tcPr>
          <w:p w:rsidR="00CB431C" w:rsidRPr="00704A26" w:rsidRDefault="00CB431C" w:rsidP="00DD7978">
            <w:pPr>
              <w:jc w:val="right"/>
              <w:rPr>
                <w:rFonts w:ascii="Arial" w:hAnsi="Arial" w:cs="Arial"/>
                <w:sz w:val="18"/>
                <w:szCs w:val="18"/>
              </w:rPr>
            </w:pPr>
            <w:r w:rsidRPr="00704A26">
              <w:rPr>
                <w:rFonts w:ascii="Arial" w:hAnsi="Arial" w:cs="Arial"/>
                <w:sz w:val="18"/>
                <w:szCs w:val="18"/>
              </w:rPr>
              <w:t>-</w:t>
            </w:r>
          </w:p>
        </w:tc>
        <w:tc>
          <w:tcPr>
            <w:tcW w:w="1559" w:type="dxa"/>
            <w:tcBorders>
              <w:top w:val="nil"/>
              <w:left w:val="nil"/>
              <w:bottom w:val="nil"/>
              <w:right w:val="nil"/>
            </w:tcBorders>
            <w:shd w:val="clear" w:color="auto" w:fill="auto"/>
            <w:noWrap/>
            <w:vAlign w:val="bottom"/>
          </w:tcPr>
          <w:p w:rsidR="00CB431C" w:rsidRPr="00704A26" w:rsidRDefault="00CB431C" w:rsidP="00DD7978">
            <w:pPr>
              <w:jc w:val="right"/>
              <w:rPr>
                <w:rFonts w:ascii="Arial" w:hAnsi="Arial" w:cs="Arial"/>
                <w:sz w:val="18"/>
                <w:szCs w:val="18"/>
              </w:rPr>
            </w:pPr>
            <w:r w:rsidRPr="00704A26">
              <w:rPr>
                <w:rFonts w:ascii="Arial" w:hAnsi="Arial" w:cs="Arial"/>
                <w:sz w:val="18"/>
                <w:szCs w:val="18"/>
              </w:rPr>
              <w:t>-</w:t>
            </w:r>
          </w:p>
        </w:tc>
        <w:tc>
          <w:tcPr>
            <w:tcW w:w="992" w:type="dxa"/>
            <w:tcBorders>
              <w:top w:val="nil"/>
              <w:left w:val="nil"/>
              <w:bottom w:val="nil"/>
              <w:right w:val="nil"/>
            </w:tcBorders>
            <w:vAlign w:val="bottom"/>
          </w:tcPr>
          <w:p w:rsidR="00CB431C" w:rsidRPr="00704A26" w:rsidRDefault="00CB431C" w:rsidP="00DD7978">
            <w:pPr>
              <w:jc w:val="right"/>
              <w:rPr>
                <w:rFonts w:ascii="Arial" w:hAnsi="Arial" w:cs="Arial"/>
                <w:sz w:val="18"/>
                <w:szCs w:val="18"/>
              </w:rPr>
            </w:pPr>
            <w:r w:rsidRPr="00704A26">
              <w:rPr>
                <w:rFonts w:ascii="Arial" w:hAnsi="Arial" w:cs="Arial"/>
                <w:sz w:val="18"/>
                <w:szCs w:val="18"/>
              </w:rPr>
              <w:t>-</w:t>
            </w:r>
          </w:p>
        </w:tc>
        <w:tc>
          <w:tcPr>
            <w:tcW w:w="992" w:type="dxa"/>
            <w:tcBorders>
              <w:top w:val="nil"/>
              <w:left w:val="nil"/>
              <w:bottom w:val="nil"/>
              <w:right w:val="nil"/>
            </w:tcBorders>
            <w:shd w:val="clear" w:color="auto" w:fill="auto"/>
            <w:noWrap/>
            <w:vAlign w:val="bottom"/>
          </w:tcPr>
          <w:p w:rsidR="00CB431C" w:rsidRPr="00704A26" w:rsidRDefault="00CB431C" w:rsidP="00DD7978">
            <w:pPr>
              <w:jc w:val="right"/>
              <w:rPr>
                <w:rFonts w:ascii="Arial" w:hAnsi="Arial" w:cs="Arial"/>
                <w:b/>
                <w:sz w:val="18"/>
                <w:szCs w:val="18"/>
              </w:rPr>
            </w:pPr>
            <w:r>
              <w:rPr>
                <w:rFonts w:ascii="Arial" w:hAnsi="Arial" w:cs="Arial"/>
                <w:b/>
                <w:sz w:val="18"/>
                <w:szCs w:val="18"/>
              </w:rPr>
              <w:t>69</w:t>
            </w:r>
          </w:p>
        </w:tc>
      </w:tr>
      <w:tr w:rsidR="00CB431C" w:rsidRPr="00D440C9" w:rsidTr="00DD7978">
        <w:trPr>
          <w:trHeight w:val="255"/>
        </w:trPr>
        <w:tc>
          <w:tcPr>
            <w:tcW w:w="2977" w:type="dxa"/>
            <w:tcBorders>
              <w:top w:val="single" w:sz="4" w:space="0" w:color="auto"/>
              <w:left w:val="nil"/>
              <w:bottom w:val="single" w:sz="8" w:space="0" w:color="auto"/>
              <w:right w:val="nil"/>
            </w:tcBorders>
            <w:shd w:val="clear" w:color="auto" w:fill="auto"/>
            <w:noWrap/>
            <w:vAlign w:val="bottom"/>
            <w:hideMark/>
          </w:tcPr>
          <w:p w:rsidR="00CB431C" w:rsidRPr="00D440C9" w:rsidRDefault="00CB431C" w:rsidP="00DD7978">
            <w:pPr>
              <w:rPr>
                <w:rFonts w:ascii="Arial" w:hAnsi="Arial" w:cs="Arial"/>
                <w:b/>
                <w:bCs/>
                <w:sz w:val="18"/>
                <w:szCs w:val="18"/>
                <w:lang w:val="en-GB" w:eastAsia="en-GB"/>
              </w:rPr>
            </w:pPr>
            <w:r w:rsidRPr="00D440C9">
              <w:rPr>
                <w:rFonts w:ascii="Arial" w:hAnsi="Arial" w:cs="Arial"/>
                <w:b/>
                <w:bCs/>
                <w:sz w:val="18"/>
                <w:szCs w:val="18"/>
                <w:lang w:val="en-GB" w:eastAsia="en-GB"/>
              </w:rPr>
              <w:t>Segment result</w:t>
            </w:r>
          </w:p>
        </w:tc>
        <w:tc>
          <w:tcPr>
            <w:tcW w:w="1276" w:type="dxa"/>
            <w:gridSpan w:val="2"/>
            <w:tcBorders>
              <w:top w:val="single" w:sz="4" w:space="0" w:color="auto"/>
              <w:left w:val="nil"/>
              <w:bottom w:val="single" w:sz="8" w:space="0" w:color="auto"/>
              <w:right w:val="nil"/>
            </w:tcBorders>
            <w:shd w:val="clear" w:color="auto" w:fill="auto"/>
            <w:noWrap/>
            <w:vAlign w:val="bottom"/>
            <w:hideMark/>
          </w:tcPr>
          <w:p w:rsidR="00CB431C" w:rsidRPr="00AD3CF6" w:rsidRDefault="00CB431C" w:rsidP="00DD7978">
            <w:pPr>
              <w:jc w:val="right"/>
              <w:rPr>
                <w:rFonts w:ascii="Arial" w:hAnsi="Arial" w:cs="Arial"/>
                <w:bCs/>
                <w:sz w:val="18"/>
                <w:szCs w:val="18"/>
              </w:rPr>
            </w:pPr>
            <w:r>
              <w:rPr>
                <w:rFonts w:ascii="Arial" w:hAnsi="Arial" w:cs="Arial"/>
                <w:bCs/>
                <w:sz w:val="18"/>
                <w:szCs w:val="18"/>
              </w:rPr>
              <w:t>6</w:t>
            </w:r>
            <w:r w:rsidRPr="00AD3CF6">
              <w:rPr>
                <w:rFonts w:ascii="Arial" w:hAnsi="Arial" w:cs="Arial"/>
                <w:bCs/>
                <w:sz w:val="18"/>
                <w:szCs w:val="18"/>
              </w:rPr>
              <w:t>,</w:t>
            </w:r>
            <w:r>
              <w:rPr>
                <w:rFonts w:ascii="Arial" w:hAnsi="Arial" w:cs="Arial"/>
                <w:bCs/>
                <w:sz w:val="18"/>
                <w:szCs w:val="18"/>
              </w:rPr>
              <w:t>236</w:t>
            </w:r>
          </w:p>
        </w:tc>
        <w:tc>
          <w:tcPr>
            <w:tcW w:w="1134" w:type="dxa"/>
            <w:tcBorders>
              <w:top w:val="single" w:sz="4" w:space="0" w:color="auto"/>
              <w:left w:val="nil"/>
              <w:bottom w:val="single" w:sz="8" w:space="0" w:color="auto"/>
              <w:right w:val="nil"/>
            </w:tcBorders>
            <w:shd w:val="clear" w:color="auto" w:fill="auto"/>
            <w:noWrap/>
            <w:vAlign w:val="bottom"/>
            <w:hideMark/>
          </w:tcPr>
          <w:p w:rsidR="00CB431C" w:rsidRPr="00AD3CF6" w:rsidRDefault="00CB431C" w:rsidP="00DD7978">
            <w:pPr>
              <w:jc w:val="right"/>
              <w:rPr>
                <w:rFonts w:ascii="Arial" w:hAnsi="Arial" w:cs="Arial"/>
                <w:bCs/>
                <w:sz w:val="18"/>
                <w:szCs w:val="18"/>
              </w:rPr>
            </w:pPr>
            <w:r w:rsidRPr="00AD3CF6">
              <w:rPr>
                <w:rFonts w:ascii="Arial" w:hAnsi="Arial" w:cs="Arial"/>
                <w:bCs/>
                <w:sz w:val="18"/>
                <w:szCs w:val="18"/>
              </w:rPr>
              <w:t>1,</w:t>
            </w:r>
            <w:r>
              <w:rPr>
                <w:rFonts w:ascii="Arial" w:hAnsi="Arial" w:cs="Arial"/>
                <w:bCs/>
                <w:sz w:val="18"/>
                <w:szCs w:val="18"/>
              </w:rPr>
              <w:t>418</w:t>
            </w:r>
          </w:p>
        </w:tc>
        <w:tc>
          <w:tcPr>
            <w:tcW w:w="1134" w:type="dxa"/>
            <w:tcBorders>
              <w:top w:val="single" w:sz="4" w:space="0" w:color="auto"/>
              <w:left w:val="nil"/>
              <w:bottom w:val="single" w:sz="8" w:space="0" w:color="auto"/>
              <w:right w:val="nil"/>
            </w:tcBorders>
            <w:shd w:val="clear" w:color="auto" w:fill="auto"/>
            <w:noWrap/>
            <w:vAlign w:val="bottom"/>
            <w:hideMark/>
          </w:tcPr>
          <w:p w:rsidR="00CB431C" w:rsidRPr="00AD3CF6" w:rsidRDefault="00CB431C" w:rsidP="00DD7978">
            <w:pPr>
              <w:jc w:val="right"/>
              <w:rPr>
                <w:rFonts w:ascii="Arial" w:hAnsi="Arial" w:cs="Arial"/>
                <w:bCs/>
                <w:sz w:val="18"/>
                <w:szCs w:val="18"/>
              </w:rPr>
            </w:pPr>
            <w:r w:rsidRPr="00AD3CF6">
              <w:rPr>
                <w:rFonts w:ascii="Arial" w:hAnsi="Arial" w:cs="Arial"/>
                <w:bCs/>
                <w:sz w:val="18"/>
                <w:szCs w:val="18"/>
              </w:rPr>
              <w:t>1,801</w:t>
            </w:r>
          </w:p>
        </w:tc>
        <w:tc>
          <w:tcPr>
            <w:tcW w:w="1559" w:type="dxa"/>
            <w:tcBorders>
              <w:top w:val="single" w:sz="4" w:space="0" w:color="auto"/>
              <w:left w:val="nil"/>
              <w:bottom w:val="single" w:sz="8" w:space="0" w:color="auto"/>
              <w:right w:val="nil"/>
            </w:tcBorders>
            <w:shd w:val="clear" w:color="auto" w:fill="auto"/>
            <w:noWrap/>
            <w:vAlign w:val="bottom"/>
            <w:hideMark/>
          </w:tcPr>
          <w:p w:rsidR="00CB431C" w:rsidRPr="00AD3CF6" w:rsidRDefault="00CB431C" w:rsidP="00DD7978">
            <w:pPr>
              <w:jc w:val="right"/>
              <w:rPr>
                <w:rFonts w:ascii="Arial" w:hAnsi="Arial" w:cs="Arial"/>
                <w:bCs/>
                <w:sz w:val="18"/>
                <w:szCs w:val="18"/>
              </w:rPr>
            </w:pPr>
            <w:r w:rsidRPr="00AD3CF6">
              <w:rPr>
                <w:rFonts w:ascii="Arial" w:hAnsi="Arial" w:cs="Arial"/>
                <w:bCs/>
                <w:sz w:val="18"/>
                <w:szCs w:val="18"/>
              </w:rPr>
              <w:t>1,855</w:t>
            </w:r>
          </w:p>
        </w:tc>
        <w:tc>
          <w:tcPr>
            <w:tcW w:w="992" w:type="dxa"/>
            <w:tcBorders>
              <w:top w:val="single" w:sz="4" w:space="0" w:color="auto"/>
              <w:left w:val="nil"/>
              <w:bottom w:val="single" w:sz="8" w:space="0" w:color="auto"/>
              <w:right w:val="nil"/>
            </w:tcBorders>
            <w:vAlign w:val="bottom"/>
          </w:tcPr>
          <w:p w:rsidR="00CB431C" w:rsidRPr="00AD3CF6" w:rsidRDefault="00CB431C" w:rsidP="00DD7978">
            <w:pPr>
              <w:jc w:val="right"/>
              <w:rPr>
                <w:rFonts w:ascii="Arial" w:hAnsi="Arial" w:cs="Arial"/>
                <w:bCs/>
                <w:sz w:val="18"/>
                <w:szCs w:val="18"/>
              </w:rPr>
            </w:pPr>
            <w:r w:rsidRPr="00AD3CF6">
              <w:rPr>
                <w:rFonts w:ascii="Arial" w:hAnsi="Arial" w:cs="Arial"/>
                <w:bCs/>
                <w:sz w:val="18"/>
                <w:szCs w:val="18"/>
              </w:rPr>
              <w:t>-</w:t>
            </w:r>
          </w:p>
        </w:tc>
        <w:tc>
          <w:tcPr>
            <w:tcW w:w="992" w:type="dxa"/>
            <w:tcBorders>
              <w:top w:val="single" w:sz="4" w:space="0" w:color="auto"/>
              <w:left w:val="nil"/>
              <w:bottom w:val="single" w:sz="8" w:space="0" w:color="auto"/>
              <w:right w:val="nil"/>
            </w:tcBorders>
            <w:shd w:val="clear" w:color="auto" w:fill="auto"/>
            <w:noWrap/>
            <w:vAlign w:val="bottom"/>
            <w:hideMark/>
          </w:tcPr>
          <w:p w:rsidR="00CB431C" w:rsidRDefault="00CB431C" w:rsidP="00DD7978">
            <w:pPr>
              <w:jc w:val="right"/>
              <w:rPr>
                <w:rFonts w:ascii="Arial" w:hAnsi="Arial" w:cs="Arial"/>
                <w:b/>
                <w:bCs/>
                <w:sz w:val="18"/>
                <w:szCs w:val="18"/>
              </w:rPr>
            </w:pPr>
            <w:r>
              <w:rPr>
                <w:rFonts w:ascii="Arial" w:hAnsi="Arial" w:cs="Arial"/>
                <w:b/>
                <w:bCs/>
                <w:sz w:val="18"/>
                <w:szCs w:val="18"/>
              </w:rPr>
              <w:t>11,310</w:t>
            </w:r>
          </w:p>
        </w:tc>
      </w:tr>
      <w:tr w:rsidR="00CB431C" w:rsidRPr="00D440C9" w:rsidTr="001237DC">
        <w:trPr>
          <w:trHeight w:val="240"/>
        </w:trPr>
        <w:tc>
          <w:tcPr>
            <w:tcW w:w="2977" w:type="dxa"/>
            <w:tcBorders>
              <w:top w:val="single" w:sz="8" w:space="0" w:color="auto"/>
              <w:left w:val="nil"/>
              <w:bottom w:val="single" w:sz="8" w:space="0" w:color="auto"/>
              <w:right w:val="nil"/>
            </w:tcBorders>
            <w:shd w:val="clear" w:color="auto" w:fill="auto"/>
            <w:noWrap/>
            <w:vAlign w:val="bottom"/>
            <w:hideMark/>
          </w:tcPr>
          <w:p w:rsidR="00CB431C" w:rsidRPr="00D440C9" w:rsidRDefault="00CB431C" w:rsidP="00DD7978">
            <w:pPr>
              <w:rPr>
                <w:rFonts w:ascii="Arial" w:hAnsi="Arial" w:cs="Arial"/>
                <w:sz w:val="18"/>
                <w:szCs w:val="18"/>
                <w:lang w:val="en-GB" w:eastAsia="en-GB"/>
              </w:rPr>
            </w:pPr>
            <w:r w:rsidRPr="00D440C9">
              <w:rPr>
                <w:rFonts w:ascii="Arial" w:hAnsi="Arial" w:cs="Arial"/>
                <w:sz w:val="18"/>
                <w:szCs w:val="18"/>
                <w:lang w:val="en-GB" w:eastAsia="en-GB"/>
              </w:rPr>
              <w:t>Unallocated other costs</w:t>
            </w:r>
          </w:p>
        </w:tc>
        <w:tc>
          <w:tcPr>
            <w:tcW w:w="1276" w:type="dxa"/>
            <w:gridSpan w:val="2"/>
            <w:tcBorders>
              <w:top w:val="single" w:sz="8" w:space="0" w:color="auto"/>
              <w:left w:val="nil"/>
              <w:bottom w:val="single" w:sz="8" w:space="0" w:color="auto"/>
              <w:right w:val="nil"/>
            </w:tcBorders>
            <w:shd w:val="clear" w:color="auto" w:fill="auto"/>
            <w:noWrap/>
            <w:vAlign w:val="bottom"/>
            <w:hideMark/>
          </w:tcPr>
          <w:p w:rsidR="00CB431C" w:rsidRPr="00D440C9" w:rsidRDefault="00CB431C" w:rsidP="00DD7978">
            <w:pPr>
              <w:jc w:val="right"/>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B431C" w:rsidRPr="00D440C9" w:rsidRDefault="00CB431C" w:rsidP="00DD7978">
            <w:pPr>
              <w:jc w:val="right"/>
              <w:rPr>
                <w:rFonts w:ascii="Arial" w:hAnsi="Arial" w:cs="Arial"/>
                <w:b/>
                <w:bCs/>
                <w:sz w:val="18"/>
                <w:szCs w:val="18"/>
                <w:lang w:val="en-GB" w:eastAsia="en-GB"/>
              </w:rPr>
            </w:pPr>
            <w:r w:rsidRPr="00D440C9">
              <w:rPr>
                <w:rFonts w:ascii="Arial" w:hAnsi="Arial" w:cs="Arial"/>
                <w:b/>
                <w:bCs/>
                <w:sz w:val="18"/>
                <w:szCs w:val="18"/>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B431C" w:rsidRPr="00D440C9" w:rsidRDefault="00CB431C" w:rsidP="00DD7978">
            <w:pPr>
              <w:jc w:val="right"/>
              <w:rPr>
                <w:rFonts w:ascii="Arial" w:hAnsi="Arial" w:cs="Arial"/>
                <w:sz w:val="18"/>
                <w:szCs w:val="18"/>
                <w:lang w:val="en-GB" w:eastAsia="en-GB"/>
              </w:rPr>
            </w:pPr>
            <w:r w:rsidRPr="00D440C9">
              <w:rPr>
                <w:rFonts w:ascii="Arial" w:hAnsi="Arial" w:cs="Arial"/>
                <w:sz w:val="18"/>
                <w:szCs w:val="18"/>
                <w:lang w:val="en-GB" w:eastAsia="en-GB"/>
              </w:rPr>
              <w:t> </w:t>
            </w:r>
          </w:p>
        </w:tc>
        <w:tc>
          <w:tcPr>
            <w:tcW w:w="1559" w:type="dxa"/>
            <w:tcBorders>
              <w:top w:val="single" w:sz="8" w:space="0" w:color="auto"/>
              <w:left w:val="nil"/>
              <w:bottom w:val="single" w:sz="8" w:space="0" w:color="auto"/>
              <w:right w:val="nil"/>
            </w:tcBorders>
            <w:shd w:val="clear" w:color="auto" w:fill="auto"/>
            <w:noWrap/>
            <w:vAlign w:val="bottom"/>
            <w:hideMark/>
          </w:tcPr>
          <w:p w:rsidR="00CB431C" w:rsidRPr="00D440C9" w:rsidRDefault="00CB431C" w:rsidP="00DD7978">
            <w:pPr>
              <w:jc w:val="right"/>
              <w:rPr>
                <w:rFonts w:ascii="Arial" w:hAnsi="Arial" w:cs="Arial"/>
                <w:sz w:val="18"/>
                <w:szCs w:val="18"/>
                <w:lang w:val="en-GB" w:eastAsia="en-GB"/>
              </w:rPr>
            </w:pPr>
            <w:r w:rsidRPr="00D440C9">
              <w:rPr>
                <w:rFonts w:ascii="Arial" w:hAnsi="Arial" w:cs="Arial"/>
                <w:sz w:val="18"/>
                <w:szCs w:val="18"/>
                <w:lang w:val="en-GB" w:eastAsia="en-GB"/>
              </w:rPr>
              <w:t> </w:t>
            </w:r>
          </w:p>
        </w:tc>
        <w:tc>
          <w:tcPr>
            <w:tcW w:w="992" w:type="dxa"/>
            <w:tcBorders>
              <w:top w:val="single" w:sz="8" w:space="0" w:color="auto"/>
              <w:left w:val="nil"/>
              <w:bottom w:val="single" w:sz="8" w:space="0" w:color="auto"/>
              <w:right w:val="nil"/>
            </w:tcBorders>
            <w:vAlign w:val="bottom"/>
          </w:tcPr>
          <w:p w:rsidR="00CB431C" w:rsidRPr="00BD02D4" w:rsidRDefault="00CB431C" w:rsidP="00DD7978">
            <w:pPr>
              <w:jc w:val="right"/>
              <w:rPr>
                <w:rFonts w:ascii="Arial" w:hAnsi="Arial" w:cs="Arial"/>
                <w:bCs/>
                <w:sz w:val="18"/>
                <w:szCs w:val="18"/>
                <w:lang w:val="en-GB" w:eastAsia="en-GB"/>
              </w:rPr>
            </w:pPr>
          </w:p>
        </w:tc>
        <w:tc>
          <w:tcPr>
            <w:tcW w:w="992" w:type="dxa"/>
            <w:tcBorders>
              <w:top w:val="single" w:sz="8" w:space="0" w:color="auto"/>
              <w:left w:val="nil"/>
              <w:bottom w:val="single" w:sz="8" w:space="0" w:color="auto"/>
              <w:right w:val="nil"/>
            </w:tcBorders>
            <w:shd w:val="clear" w:color="auto" w:fill="auto"/>
            <w:noWrap/>
            <w:vAlign w:val="bottom"/>
            <w:hideMark/>
          </w:tcPr>
          <w:p w:rsidR="00CB431C" w:rsidRPr="00704A26" w:rsidRDefault="00CB431C" w:rsidP="00DD7978">
            <w:pPr>
              <w:pStyle w:val="03Bodynospace"/>
              <w:jc w:val="right"/>
              <w:rPr>
                <w:b/>
              </w:rPr>
            </w:pPr>
            <w:r>
              <w:rPr>
                <w:b/>
              </w:rPr>
              <w:t>(1,953</w:t>
            </w:r>
            <w:r w:rsidRPr="00704A26">
              <w:rPr>
                <w:b/>
              </w:rPr>
              <w:t>)</w:t>
            </w:r>
          </w:p>
        </w:tc>
      </w:tr>
      <w:tr w:rsidR="00CB431C" w:rsidRPr="00D440C9" w:rsidTr="00DD7978">
        <w:trPr>
          <w:trHeight w:val="240"/>
        </w:trPr>
        <w:tc>
          <w:tcPr>
            <w:tcW w:w="2977" w:type="dxa"/>
            <w:tcBorders>
              <w:top w:val="single" w:sz="8" w:space="0" w:color="auto"/>
              <w:left w:val="nil"/>
              <w:bottom w:val="nil"/>
              <w:right w:val="nil"/>
            </w:tcBorders>
            <w:shd w:val="clear" w:color="auto" w:fill="auto"/>
            <w:noWrap/>
            <w:vAlign w:val="bottom"/>
            <w:hideMark/>
          </w:tcPr>
          <w:p w:rsidR="00CB431C" w:rsidRPr="00D440C9" w:rsidRDefault="00CB431C" w:rsidP="00DD7978">
            <w:pPr>
              <w:rPr>
                <w:rFonts w:ascii="Arial" w:hAnsi="Arial" w:cs="Arial"/>
                <w:sz w:val="18"/>
                <w:szCs w:val="18"/>
                <w:lang w:val="en-GB" w:eastAsia="en-GB"/>
              </w:rPr>
            </w:pPr>
            <w:r w:rsidRPr="00D440C9">
              <w:rPr>
                <w:rFonts w:ascii="Arial" w:hAnsi="Arial" w:cs="Arial"/>
                <w:sz w:val="18"/>
                <w:szCs w:val="18"/>
                <w:lang w:val="en-GB" w:eastAsia="en-GB"/>
              </w:rPr>
              <w:t>Operating profit</w:t>
            </w:r>
          </w:p>
        </w:tc>
        <w:tc>
          <w:tcPr>
            <w:tcW w:w="1276" w:type="dxa"/>
            <w:gridSpan w:val="2"/>
            <w:tcBorders>
              <w:top w:val="single" w:sz="8" w:space="0" w:color="auto"/>
              <w:left w:val="nil"/>
              <w:bottom w:val="nil"/>
              <w:right w:val="nil"/>
            </w:tcBorders>
            <w:shd w:val="clear" w:color="auto" w:fill="auto"/>
            <w:noWrap/>
            <w:vAlign w:val="bottom"/>
            <w:hideMark/>
          </w:tcPr>
          <w:p w:rsidR="00CB431C" w:rsidRPr="00D440C9" w:rsidRDefault="00CB431C" w:rsidP="00DD7978">
            <w:pPr>
              <w:jc w:val="right"/>
              <w:rPr>
                <w:rFonts w:ascii="Arial" w:hAnsi="Arial" w:cs="Arial"/>
                <w:b/>
                <w:bCs/>
                <w:sz w:val="18"/>
                <w:szCs w:val="18"/>
                <w:lang w:val="en-GB" w:eastAsia="en-GB"/>
              </w:rPr>
            </w:pPr>
          </w:p>
        </w:tc>
        <w:tc>
          <w:tcPr>
            <w:tcW w:w="1134" w:type="dxa"/>
            <w:tcBorders>
              <w:top w:val="single" w:sz="8" w:space="0" w:color="auto"/>
              <w:left w:val="nil"/>
              <w:bottom w:val="nil"/>
              <w:right w:val="nil"/>
            </w:tcBorders>
            <w:shd w:val="clear" w:color="auto" w:fill="auto"/>
            <w:noWrap/>
            <w:vAlign w:val="bottom"/>
            <w:hideMark/>
          </w:tcPr>
          <w:p w:rsidR="00CB431C" w:rsidRPr="00D440C9" w:rsidRDefault="00CB431C" w:rsidP="00DD7978">
            <w:pPr>
              <w:jc w:val="right"/>
              <w:rPr>
                <w:rFonts w:ascii="Arial" w:hAnsi="Arial" w:cs="Arial"/>
                <w:b/>
                <w:bCs/>
                <w:sz w:val="18"/>
                <w:szCs w:val="18"/>
                <w:lang w:val="en-GB" w:eastAsia="en-GB"/>
              </w:rPr>
            </w:pPr>
          </w:p>
        </w:tc>
        <w:tc>
          <w:tcPr>
            <w:tcW w:w="1134" w:type="dxa"/>
            <w:tcBorders>
              <w:top w:val="single" w:sz="8" w:space="0" w:color="auto"/>
              <w:left w:val="nil"/>
              <w:bottom w:val="nil"/>
              <w:right w:val="nil"/>
            </w:tcBorders>
            <w:shd w:val="clear" w:color="auto" w:fill="auto"/>
            <w:noWrap/>
            <w:vAlign w:val="bottom"/>
            <w:hideMark/>
          </w:tcPr>
          <w:p w:rsidR="00CB431C" w:rsidRPr="00D440C9" w:rsidRDefault="00CB431C" w:rsidP="00DD7978">
            <w:pPr>
              <w:jc w:val="right"/>
              <w:rPr>
                <w:rFonts w:ascii="Arial" w:hAnsi="Arial" w:cs="Arial"/>
                <w:sz w:val="18"/>
                <w:szCs w:val="18"/>
                <w:lang w:val="en-GB" w:eastAsia="en-GB"/>
              </w:rPr>
            </w:pPr>
          </w:p>
        </w:tc>
        <w:tc>
          <w:tcPr>
            <w:tcW w:w="1559" w:type="dxa"/>
            <w:tcBorders>
              <w:top w:val="single" w:sz="8" w:space="0" w:color="auto"/>
              <w:left w:val="nil"/>
              <w:bottom w:val="nil"/>
              <w:right w:val="nil"/>
            </w:tcBorders>
            <w:shd w:val="clear" w:color="auto" w:fill="auto"/>
            <w:noWrap/>
            <w:vAlign w:val="bottom"/>
            <w:hideMark/>
          </w:tcPr>
          <w:p w:rsidR="00CB431C" w:rsidRPr="00D440C9" w:rsidRDefault="00CB431C" w:rsidP="00DD7978">
            <w:pPr>
              <w:jc w:val="right"/>
              <w:rPr>
                <w:rFonts w:ascii="Arial" w:hAnsi="Arial" w:cs="Arial"/>
                <w:sz w:val="18"/>
                <w:szCs w:val="18"/>
                <w:lang w:val="en-GB" w:eastAsia="en-GB"/>
              </w:rPr>
            </w:pPr>
          </w:p>
        </w:tc>
        <w:tc>
          <w:tcPr>
            <w:tcW w:w="992" w:type="dxa"/>
            <w:tcBorders>
              <w:top w:val="single" w:sz="8" w:space="0" w:color="auto"/>
              <w:left w:val="nil"/>
              <w:bottom w:val="nil"/>
              <w:right w:val="nil"/>
            </w:tcBorders>
          </w:tcPr>
          <w:p w:rsidR="00CB431C" w:rsidRPr="00D440C9" w:rsidRDefault="00CB431C" w:rsidP="00DD7978">
            <w:pPr>
              <w:jc w:val="right"/>
              <w:rPr>
                <w:rFonts w:ascii="Arial" w:hAnsi="Arial" w:cs="Arial"/>
                <w:b/>
                <w:bCs/>
                <w:sz w:val="18"/>
                <w:szCs w:val="18"/>
                <w:lang w:val="en-GB" w:eastAsia="en-GB"/>
              </w:rPr>
            </w:pPr>
          </w:p>
        </w:tc>
        <w:tc>
          <w:tcPr>
            <w:tcW w:w="992" w:type="dxa"/>
            <w:tcBorders>
              <w:top w:val="single" w:sz="8" w:space="0" w:color="auto"/>
              <w:left w:val="nil"/>
              <w:bottom w:val="nil"/>
              <w:right w:val="nil"/>
            </w:tcBorders>
            <w:shd w:val="clear" w:color="auto" w:fill="auto"/>
            <w:noWrap/>
            <w:vAlign w:val="bottom"/>
            <w:hideMark/>
          </w:tcPr>
          <w:p w:rsidR="00CB431C" w:rsidRPr="00704A26" w:rsidRDefault="00CB431C" w:rsidP="00DD7978">
            <w:pPr>
              <w:pStyle w:val="03Bodynospace"/>
              <w:jc w:val="right"/>
              <w:rPr>
                <w:b/>
              </w:rPr>
            </w:pPr>
            <w:r>
              <w:rPr>
                <w:b/>
              </w:rPr>
              <w:t>9</w:t>
            </w:r>
            <w:r w:rsidRPr="00704A26">
              <w:rPr>
                <w:b/>
              </w:rPr>
              <w:t>,</w:t>
            </w:r>
            <w:r>
              <w:rPr>
                <w:b/>
              </w:rPr>
              <w:t>357</w:t>
            </w:r>
          </w:p>
        </w:tc>
      </w:tr>
      <w:tr w:rsidR="00CB431C" w:rsidRPr="00D440C9" w:rsidTr="00BD02D4">
        <w:trPr>
          <w:trHeight w:val="240"/>
        </w:trPr>
        <w:tc>
          <w:tcPr>
            <w:tcW w:w="2977" w:type="dxa"/>
            <w:tcBorders>
              <w:top w:val="nil"/>
              <w:left w:val="nil"/>
              <w:bottom w:val="nil"/>
              <w:right w:val="nil"/>
            </w:tcBorders>
            <w:shd w:val="clear" w:color="auto" w:fill="auto"/>
            <w:vAlign w:val="bottom"/>
            <w:hideMark/>
          </w:tcPr>
          <w:p w:rsidR="00CB431C" w:rsidRPr="00D440C9" w:rsidRDefault="00CB431C" w:rsidP="00DD7978">
            <w:pPr>
              <w:rPr>
                <w:rFonts w:ascii="Arial" w:hAnsi="Arial" w:cs="Arial"/>
                <w:sz w:val="18"/>
                <w:szCs w:val="18"/>
                <w:lang w:val="en-GB" w:eastAsia="en-GB"/>
              </w:rPr>
            </w:pPr>
            <w:r w:rsidRPr="00D440C9">
              <w:rPr>
                <w:rFonts w:ascii="Arial" w:hAnsi="Arial" w:cs="Arial"/>
                <w:sz w:val="18"/>
                <w:szCs w:val="18"/>
                <w:lang w:val="en-GB" w:eastAsia="en-GB"/>
              </w:rPr>
              <w:t>Finance income/(cost)- net</w:t>
            </w:r>
          </w:p>
        </w:tc>
        <w:tc>
          <w:tcPr>
            <w:tcW w:w="1276" w:type="dxa"/>
            <w:gridSpan w:val="2"/>
            <w:tcBorders>
              <w:top w:val="nil"/>
              <w:left w:val="nil"/>
              <w:bottom w:val="nil"/>
              <w:right w:val="nil"/>
            </w:tcBorders>
            <w:shd w:val="clear" w:color="auto" w:fill="auto"/>
            <w:noWrap/>
            <w:vAlign w:val="bottom"/>
            <w:hideMark/>
          </w:tcPr>
          <w:p w:rsidR="00CB431C" w:rsidRPr="00D440C9" w:rsidRDefault="00CB431C" w:rsidP="00DD7978">
            <w:pPr>
              <w:rPr>
                <w:rFonts w:ascii="Arial" w:hAnsi="Arial" w:cs="Arial"/>
                <w:b/>
                <w:bCs/>
                <w:sz w:val="18"/>
                <w:szCs w:val="18"/>
                <w:lang w:val="en-GB" w:eastAsia="en-GB"/>
              </w:rPr>
            </w:pPr>
          </w:p>
        </w:tc>
        <w:tc>
          <w:tcPr>
            <w:tcW w:w="1134" w:type="dxa"/>
            <w:tcBorders>
              <w:top w:val="nil"/>
              <w:left w:val="nil"/>
              <w:bottom w:val="nil"/>
              <w:right w:val="nil"/>
            </w:tcBorders>
            <w:shd w:val="clear" w:color="auto" w:fill="auto"/>
            <w:noWrap/>
            <w:vAlign w:val="bottom"/>
            <w:hideMark/>
          </w:tcPr>
          <w:p w:rsidR="00CB431C" w:rsidRPr="00D440C9" w:rsidRDefault="00CB431C" w:rsidP="00DD7978">
            <w:pPr>
              <w:rPr>
                <w:rFonts w:ascii="Arial" w:hAnsi="Arial" w:cs="Arial"/>
                <w:b/>
                <w:bCs/>
                <w:sz w:val="18"/>
                <w:szCs w:val="18"/>
                <w:lang w:val="en-GB" w:eastAsia="en-GB"/>
              </w:rPr>
            </w:pPr>
          </w:p>
        </w:tc>
        <w:tc>
          <w:tcPr>
            <w:tcW w:w="1134" w:type="dxa"/>
            <w:tcBorders>
              <w:top w:val="nil"/>
              <w:left w:val="nil"/>
              <w:bottom w:val="nil"/>
              <w:right w:val="nil"/>
            </w:tcBorders>
            <w:shd w:val="clear" w:color="auto" w:fill="auto"/>
            <w:noWrap/>
            <w:vAlign w:val="bottom"/>
            <w:hideMark/>
          </w:tcPr>
          <w:p w:rsidR="00CB431C" w:rsidRPr="00D440C9" w:rsidRDefault="00CB431C" w:rsidP="00DD7978">
            <w:pPr>
              <w:rPr>
                <w:rFonts w:ascii="Arial" w:hAnsi="Arial" w:cs="Arial"/>
                <w:sz w:val="18"/>
                <w:szCs w:val="18"/>
                <w:lang w:val="en-GB" w:eastAsia="en-GB"/>
              </w:rPr>
            </w:pPr>
          </w:p>
        </w:tc>
        <w:tc>
          <w:tcPr>
            <w:tcW w:w="1559" w:type="dxa"/>
            <w:tcBorders>
              <w:top w:val="nil"/>
              <w:left w:val="nil"/>
              <w:bottom w:val="nil"/>
              <w:right w:val="nil"/>
            </w:tcBorders>
            <w:shd w:val="clear" w:color="auto" w:fill="auto"/>
            <w:noWrap/>
            <w:vAlign w:val="bottom"/>
            <w:hideMark/>
          </w:tcPr>
          <w:p w:rsidR="00CB431C" w:rsidRPr="00D440C9" w:rsidRDefault="00CB431C" w:rsidP="00DD7978">
            <w:pPr>
              <w:jc w:val="right"/>
              <w:rPr>
                <w:rFonts w:ascii="Arial" w:hAnsi="Arial" w:cs="Arial"/>
                <w:sz w:val="18"/>
                <w:szCs w:val="18"/>
                <w:lang w:val="en-GB" w:eastAsia="en-GB"/>
              </w:rPr>
            </w:pPr>
          </w:p>
        </w:tc>
        <w:tc>
          <w:tcPr>
            <w:tcW w:w="992" w:type="dxa"/>
            <w:tcBorders>
              <w:top w:val="nil"/>
              <w:left w:val="nil"/>
              <w:bottom w:val="nil"/>
              <w:right w:val="nil"/>
            </w:tcBorders>
          </w:tcPr>
          <w:p w:rsidR="00CB431C" w:rsidRPr="00D440C9" w:rsidRDefault="00CB431C" w:rsidP="00DD7978">
            <w:pPr>
              <w:jc w:val="right"/>
              <w:rPr>
                <w:rFonts w:ascii="Arial" w:hAnsi="Arial" w:cs="Arial"/>
                <w:b/>
                <w:bCs/>
                <w:sz w:val="18"/>
                <w:szCs w:val="18"/>
                <w:lang w:val="en-GB" w:eastAsia="en-GB"/>
              </w:rPr>
            </w:pPr>
          </w:p>
        </w:tc>
        <w:tc>
          <w:tcPr>
            <w:tcW w:w="992" w:type="dxa"/>
            <w:tcBorders>
              <w:top w:val="nil"/>
              <w:left w:val="nil"/>
              <w:bottom w:val="nil"/>
              <w:right w:val="nil"/>
            </w:tcBorders>
            <w:shd w:val="clear" w:color="auto" w:fill="auto"/>
            <w:noWrap/>
            <w:vAlign w:val="bottom"/>
            <w:hideMark/>
          </w:tcPr>
          <w:p w:rsidR="00CB431C" w:rsidRPr="00704A26" w:rsidRDefault="00CB431C" w:rsidP="00DD7978">
            <w:pPr>
              <w:pStyle w:val="03Bodynospace"/>
              <w:jc w:val="right"/>
              <w:rPr>
                <w:b/>
              </w:rPr>
            </w:pPr>
            <w:r>
              <w:rPr>
                <w:b/>
              </w:rPr>
              <w:t>181</w:t>
            </w:r>
          </w:p>
        </w:tc>
      </w:tr>
      <w:tr w:rsidR="00CB431C" w:rsidRPr="00D440C9" w:rsidTr="00BD02D4">
        <w:trPr>
          <w:trHeight w:val="240"/>
        </w:trPr>
        <w:tc>
          <w:tcPr>
            <w:tcW w:w="6521" w:type="dxa"/>
            <w:gridSpan w:val="5"/>
            <w:tcBorders>
              <w:top w:val="nil"/>
              <w:left w:val="nil"/>
              <w:bottom w:val="single" w:sz="4" w:space="0" w:color="auto"/>
              <w:right w:val="nil"/>
            </w:tcBorders>
            <w:shd w:val="clear" w:color="auto" w:fill="auto"/>
            <w:vAlign w:val="bottom"/>
            <w:hideMark/>
          </w:tcPr>
          <w:p w:rsidR="00CB431C" w:rsidRPr="00D440C9" w:rsidRDefault="00CB431C" w:rsidP="00DD7978">
            <w:pPr>
              <w:rPr>
                <w:rFonts w:ascii="Arial" w:hAnsi="Arial" w:cs="Arial"/>
                <w:sz w:val="18"/>
                <w:szCs w:val="18"/>
                <w:lang w:val="en-GB" w:eastAsia="en-GB"/>
              </w:rPr>
            </w:pPr>
            <w:r w:rsidRPr="00D440C9">
              <w:rPr>
                <w:rFonts w:ascii="Arial" w:hAnsi="Arial" w:cs="Arial"/>
                <w:sz w:val="18"/>
                <w:szCs w:val="18"/>
                <w:lang w:val="en-GB" w:eastAsia="en-GB"/>
              </w:rPr>
              <w:t>Share of profit from joint ventures</w:t>
            </w:r>
          </w:p>
        </w:tc>
        <w:tc>
          <w:tcPr>
            <w:tcW w:w="1559" w:type="dxa"/>
            <w:tcBorders>
              <w:top w:val="nil"/>
              <w:left w:val="nil"/>
              <w:bottom w:val="single" w:sz="4" w:space="0" w:color="auto"/>
              <w:right w:val="nil"/>
            </w:tcBorders>
            <w:shd w:val="clear" w:color="auto" w:fill="auto"/>
            <w:noWrap/>
            <w:vAlign w:val="bottom"/>
            <w:hideMark/>
          </w:tcPr>
          <w:p w:rsidR="00CB431C" w:rsidRPr="00D440C9" w:rsidRDefault="00CB431C" w:rsidP="00DD7978">
            <w:pPr>
              <w:jc w:val="right"/>
              <w:rPr>
                <w:rFonts w:ascii="Arial" w:hAnsi="Arial" w:cs="Arial"/>
                <w:sz w:val="18"/>
                <w:szCs w:val="18"/>
                <w:lang w:val="en-GB" w:eastAsia="en-GB"/>
              </w:rPr>
            </w:pPr>
            <w:r w:rsidRPr="00D440C9">
              <w:rPr>
                <w:rFonts w:ascii="Arial" w:hAnsi="Arial" w:cs="Arial"/>
                <w:sz w:val="18"/>
                <w:szCs w:val="18"/>
                <w:lang w:val="en-GB" w:eastAsia="en-GB"/>
              </w:rPr>
              <w:t> </w:t>
            </w:r>
          </w:p>
        </w:tc>
        <w:tc>
          <w:tcPr>
            <w:tcW w:w="992" w:type="dxa"/>
            <w:tcBorders>
              <w:top w:val="nil"/>
              <w:left w:val="nil"/>
              <w:bottom w:val="single" w:sz="4" w:space="0" w:color="auto"/>
              <w:right w:val="nil"/>
            </w:tcBorders>
          </w:tcPr>
          <w:p w:rsidR="00CB431C" w:rsidRPr="00D440C9" w:rsidRDefault="00CB431C" w:rsidP="00DD7978">
            <w:pPr>
              <w:jc w:val="right"/>
              <w:rPr>
                <w:rFonts w:ascii="Arial" w:hAnsi="Arial" w:cs="Arial"/>
                <w:b/>
                <w:bCs/>
                <w:sz w:val="18"/>
                <w:szCs w:val="18"/>
                <w:lang w:val="en-GB" w:eastAsia="en-GB"/>
              </w:rPr>
            </w:pPr>
          </w:p>
        </w:tc>
        <w:tc>
          <w:tcPr>
            <w:tcW w:w="992" w:type="dxa"/>
            <w:tcBorders>
              <w:top w:val="nil"/>
              <w:left w:val="nil"/>
              <w:bottom w:val="single" w:sz="4" w:space="0" w:color="auto"/>
              <w:right w:val="nil"/>
            </w:tcBorders>
            <w:shd w:val="clear" w:color="auto" w:fill="auto"/>
            <w:noWrap/>
            <w:vAlign w:val="bottom"/>
            <w:hideMark/>
          </w:tcPr>
          <w:p w:rsidR="00CB431C" w:rsidRPr="00D440C9" w:rsidRDefault="00CB431C" w:rsidP="00DD7978">
            <w:pPr>
              <w:jc w:val="right"/>
              <w:rPr>
                <w:rFonts w:ascii="Arial" w:hAnsi="Arial" w:cs="Arial"/>
                <w:b/>
                <w:bCs/>
                <w:sz w:val="18"/>
                <w:szCs w:val="18"/>
                <w:lang w:val="en-GB" w:eastAsia="en-GB"/>
              </w:rPr>
            </w:pPr>
            <w:r>
              <w:rPr>
                <w:rFonts w:ascii="Arial" w:hAnsi="Arial" w:cs="Arial"/>
                <w:b/>
                <w:bCs/>
                <w:sz w:val="18"/>
                <w:szCs w:val="18"/>
                <w:lang w:val="en-GB" w:eastAsia="en-GB"/>
              </w:rPr>
              <w:t>252</w:t>
            </w:r>
          </w:p>
        </w:tc>
      </w:tr>
      <w:tr w:rsidR="00CB431C" w:rsidRPr="00D440C9" w:rsidTr="00BD02D4">
        <w:trPr>
          <w:trHeight w:val="240"/>
        </w:trPr>
        <w:tc>
          <w:tcPr>
            <w:tcW w:w="2977" w:type="dxa"/>
            <w:tcBorders>
              <w:top w:val="nil"/>
              <w:left w:val="nil"/>
              <w:bottom w:val="nil"/>
              <w:right w:val="nil"/>
            </w:tcBorders>
            <w:shd w:val="clear" w:color="auto" w:fill="auto"/>
            <w:vAlign w:val="bottom"/>
            <w:hideMark/>
          </w:tcPr>
          <w:p w:rsidR="00CB431C" w:rsidRPr="00D440C9" w:rsidRDefault="00CB431C" w:rsidP="00DD7978">
            <w:pPr>
              <w:rPr>
                <w:rFonts w:ascii="Arial" w:hAnsi="Arial" w:cs="Arial"/>
                <w:sz w:val="18"/>
                <w:szCs w:val="18"/>
                <w:lang w:val="en-GB" w:eastAsia="en-GB"/>
              </w:rPr>
            </w:pPr>
            <w:r w:rsidRPr="00D440C9">
              <w:rPr>
                <w:rFonts w:ascii="Arial" w:hAnsi="Arial" w:cs="Arial"/>
                <w:sz w:val="18"/>
                <w:szCs w:val="18"/>
                <w:lang w:val="en-GB" w:eastAsia="en-GB"/>
              </w:rPr>
              <w:t>Profit before taxation</w:t>
            </w:r>
          </w:p>
        </w:tc>
        <w:tc>
          <w:tcPr>
            <w:tcW w:w="1276" w:type="dxa"/>
            <w:gridSpan w:val="2"/>
            <w:tcBorders>
              <w:top w:val="nil"/>
              <w:left w:val="nil"/>
              <w:bottom w:val="nil"/>
              <w:right w:val="nil"/>
            </w:tcBorders>
            <w:shd w:val="clear" w:color="auto" w:fill="auto"/>
            <w:noWrap/>
            <w:vAlign w:val="bottom"/>
            <w:hideMark/>
          </w:tcPr>
          <w:p w:rsidR="00CB431C" w:rsidRPr="00D440C9" w:rsidRDefault="00CB431C" w:rsidP="00DD7978">
            <w:pPr>
              <w:rPr>
                <w:rFonts w:ascii="Arial" w:hAnsi="Arial" w:cs="Arial"/>
                <w:b/>
                <w:bCs/>
                <w:sz w:val="18"/>
                <w:szCs w:val="18"/>
                <w:lang w:val="en-GB" w:eastAsia="en-GB"/>
              </w:rPr>
            </w:pPr>
          </w:p>
        </w:tc>
        <w:tc>
          <w:tcPr>
            <w:tcW w:w="1134" w:type="dxa"/>
            <w:tcBorders>
              <w:top w:val="nil"/>
              <w:left w:val="nil"/>
              <w:bottom w:val="nil"/>
              <w:right w:val="nil"/>
            </w:tcBorders>
            <w:shd w:val="clear" w:color="auto" w:fill="auto"/>
            <w:noWrap/>
            <w:vAlign w:val="bottom"/>
            <w:hideMark/>
          </w:tcPr>
          <w:p w:rsidR="00CB431C" w:rsidRPr="00D440C9" w:rsidRDefault="00CB431C" w:rsidP="00DD7978">
            <w:pPr>
              <w:rPr>
                <w:rFonts w:ascii="Arial" w:hAnsi="Arial" w:cs="Arial"/>
                <w:b/>
                <w:bCs/>
                <w:sz w:val="18"/>
                <w:szCs w:val="18"/>
                <w:lang w:val="en-GB" w:eastAsia="en-GB"/>
              </w:rPr>
            </w:pPr>
          </w:p>
        </w:tc>
        <w:tc>
          <w:tcPr>
            <w:tcW w:w="1134" w:type="dxa"/>
            <w:tcBorders>
              <w:top w:val="nil"/>
              <w:left w:val="nil"/>
              <w:bottom w:val="nil"/>
              <w:right w:val="nil"/>
            </w:tcBorders>
            <w:shd w:val="clear" w:color="auto" w:fill="auto"/>
            <w:noWrap/>
            <w:vAlign w:val="bottom"/>
            <w:hideMark/>
          </w:tcPr>
          <w:p w:rsidR="00CB431C" w:rsidRPr="00D440C9" w:rsidRDefault="00CB431C" w:rsidP="00DD7978">
            <w:pPr>
              <w:rPr>
                <w:rFonts w:ascii="Arial" w:hAnsi="Arial" w:cs="Arial"/>
                <w:sz w:val="18"/>
                <w:szCs w:val="18"/>
                <w:lang w:val="en-GB" w:eastAsia="en-GB"/>
              </w:rPr>
            </w:pPr>
          </w:p>
        </w:tc>
        <w:tc>
          <w:tcPr>
            <w:tcW w:w="1559" w:type="dxa"/>
            <w:tcBorders>
              <w:top w:val="nil"/>
              <w:left w:val="nil"/>
              <w:bottom w:val="nil"/>
              <w:right w:val="nil"/>
            </w:tcBorders>
            <w:shd w:val="clear" w:color="auto" w:fill="auto"/>
            <w:noWrap/>
            <w:vAlign w:val="bottom"/>
            <w:hideMark/>
          </w:tcPr>
          <w:p w:rsidR="00CB431C" w:rsidRPr="00D440C9" w:rsidRDefault="00CB431C" w:rsidP="00DD7978">
            <w:pPr>
              <w:jc w:val="right"/>
              <w:rPr>
                <w:rFonts w:ascii="Arial" w:hAnsi="Arial" w:cs="Arial"/>
                <w:sz w:val="18"/>
                <w:szCs w:val="18"/>
                <w:lang w:val="en-GB" w:eastAsia="en-GB"/>
              </w:rPr>
            </w:pPr>
          </w:p>
        </w:tc>
        <w:tc>
          <w:tcPr>
            <w:tcW w:w="992" w:type="dxa"/>
            <w:tcBorders>
              <w:top w:val="nil"/>
              <w:left w:val="nil"/>
              <w:bottom w:val="nil"/>
              <w:right w:val="nil"/>
            </w:tcBorders>
          </w:tcPr>
          <w:p w:rsidR="00CB431C" w:rsidRPr="00D440C9" w:rsidRDefault="00CB431C" w:rsidP="00DD7978">
            <w:pPr>
              <w:jc w:val="right"/>
              <w:rPr>
                <w:rFonts w:ascii="Arial" w:hAnsi="Arial" w:cs="Arial"/>
                <w:b/>
                <w:bCs/>
                <w:sz w:val="18"/>
                <w:szCs w:val="18"/>
                <w:lang w:val="en-GB" w:eastAsia="en-GB"/>
              </w:rPr>
            </w:pPr>
          </w:p>
        </w:tc>
        <w:tc>
          <w:tcPr>
            <w:tcW w:w="992" w:type="dxa"/>
            <w:tcBorders>
              <w:top w:val="nil"/>
              <w:left w:val="nil"/>
              <w:bottom w:val="nil"/>
              <w:right w:val="nil"/>
            </w:tcBorders>
            <w:shd w:val="clear" w:color="auto" w:fill="auto"/>
            <w:noWrap/>
            <w:vAlign w:val="bottom"/>
            <w:hideMark/>
          </w:tcPr>
          <w:p w:rsidR="00CB431C" w:rsidRPr="00D440C9" w:rsidRDefault="00CB431C" w:rsidP="00DD7978">
            <w:pPr>
              <w:jc w:val="right"/>
              <w:rPr>
                <w:rFonts w:ascii="Arial" w:hAnsi="Arial" w:cs="Arial"/>
                <w:b/>
                <w:bCs/>
                <w:sz w:val="18"/>
                <w:szCs w:val="18"/>
                <w:lang w:eastAsia="en-GB"/>
              </w:rPr>
            </w:pPr>
            <w:r>
              <w:rPr>
                <w:rFonts w:ascii="Arial" w:hAnsi="Arial" w:cs="Arial"/>
                <w:b/>
                <w:bCs/>
                <w:sz w:val="18"/>
                <w:szCs w:val="18"/>
                <w:lang w:eastAsia="en-GB"/>
              </w:rPr>
              <w:t>9</w:t>
            </w:r>
            <w:r w:rsidRPr="00D440C9">
              <w:rPr>
                <w:rFonts w:ascii="Arial" w:hAnsi="Arial" w:cs="Arial"/>
                <w:b/>
                <w:bCs/>
                <w:sz w:val="18"/>
                <w:szCs w:val="18"/>
                <w:lang w:eastAsia="en-GB"/>
              </w:rPr>
              <w:t>,</w:t>
            </w:r>
            <w:r>
              <w:rPr>
                <w:rFonts w:ascii="Arial" w:hAnsi="Arial" w:cs="Arial"/>
                <w:b/>
                <w:bCs/>
                <w:sz w:val="18"/>
                <w:szCs w:val="18"/>
                <w:lang w:eastAsia="en-GB"/>
              </w:rPr>
              <w:t>790</w:t>
            </w:r>
          </w:p>
        </w:tc>
      </w:tr>
      <w:tr w:rsidR="00CB431C" w:rsidRPr="00D440C9" w:rsidTr="00BD02D4">
        <w:trPr>
          <w:trHeight w:val="240"/>
        </w:trPr>
        <w:tc>
          <w:tcPr>
            <w:tcW w:w="2977" w:type="dxa"/>
            <w:tcBorders>
              <w:top w:val="nil"/>
              <w:left w:val="nil"/>
              <w:bottom w:val="nil"/>
              <w:right w:val="nil"/>
            </w:tcBorders>
            <w:shd w:val="clear" w:color="auto" w:fill="auto"/>
            <w:vAlign w:val="bottom"/>
            <w:hideMark/>
          </w:tcPr>
          <w:p w:rsidR="00CB431C" w:rsidRPr="00D440C9" w:rsidRDefault="00CB431C" w:rsidP="00DD7978">
            <w:pPr>
              <w:rPr>
                <w:rFonts w:ascii="Arial" w:hAnsi="Arial" w:cs="Arial"/>
                <w:sz w:val="18"/>
                <w:szCs w:val="18"/>
                <w:lang w:val="en-GB" w:eastAsia="en-GB"/>
              </w:rPr>
            </w:pPr>
            <w:r w:rsidRPr="00D440C9">
              <w:rPr>
                <w:rFonts w:ascii="Arial" w:hAnsi="Arial" w:cs="Arial"/>
                <w:sz w:val="18"/>
                <w:szCs w:val="18"/>
                <w:lang w:val="en-GB" w:eastAsia="en-GB"/>
              </w:rPr>
              <w:t>Taxation</w:t>
            </w:r>
          </w:p>
        </w:tc>
        <w:tc>
          <w:tcPr>
            <w:tcW w:w="1276" w:type="dxa"/>
            <w:gridSpan w:val="2"/>
            <w:tcBorders>
              <w:top w:val="nil"/>
              <w:left w:val="nil"/>
              <w:bottom w:val="nil"/>
              <w:right w:val="nil"/>
            </w:tcBorders>
            <w:shd w:val="clear" w:color="auto" w:fill="auto"/>
            <w:noWrap/>
            <w:vAlign w:val="bottom"/>
            <w:hideMark/>
          </w:tcPr>
          <w:p w:rsidR="00CB431C" w:rsidRPr="00D440C9" w:rsidRDefault="00CB431C" w:rsidP="00DD7978">
            <w:pPr>
              <w:rPr>
                <w:rFonts w:ascii="Arial" w:hAnsi="Arial" w:cs="Arial"/>
                <w:b/>
                <w:bCs/>
                <w:sz w:val="18"/>
                <w:szCs w:val="18"/>
                <w:lang w:val="en-GB" w:eastAsia="en-GB"/>
              </w:rPr>
            </w:pPr>
          </w:p>
        </w:tc>
        <w:tc>
          <w:tcPr>
            <w:tcW w:w="1134" w:type="dxa"/>
            <w:tcBorders>
              <w:top w:val="nil"/>
              <w:left w:val="nil"/>
              <w:bottom w:val="nil"/>
              <w:right w:val="nil"/>
            </w:tcBorders>
            <w:shd w:val="clear" w:color="auto" w:fill="auto"/>
            <w:noWrap/>
            <w:vAlign w:val="bottom"/>
            <w:hideMark/>
          </w:tcPr>
          <w:p w:rsidR="00CB431C" w:rsidRPr="00D440C9" w:rsidRDefault="00CB431C" w:rsidP="00DD7978">
            <w:pPr>
              <w:rPr>
                <w:rFonts w:ascii="Arial" w:hAnsi="Arial" w:cs="Arial"/>
                <w:b/>
                <w:bCs/>
                <w:sz w:val="18"/>
                <w:szCs w:val="18"/>
                <w:lang w:val="en-GB" w:eastAsia="en-GB"/>
              </w:rPr>
            </w:pPr>
          </w:p>
        </w:tc>
        <w:tc>
          <w:tcPr>
            <w:tcW w:w="1134" w:type="dxa"/>
            <w:tcBorders>
              <w:top w:val="nil"/>
              <w:left w:val="nil"/>
              <w:bottom w:val="nil"/>
              <w:right w:val="nil"/>
            </w:tcBorders>
            <w:shd w:val="clear" w:color="auto" w:fill="auto"/>
            <w:noWrap/>
            <w:vAlign w:val="bottom"/>
            <w:hideMark/>
          </w:tcPr>
          <w:p w:rsidR="00CB431C" w:rsidRPr="00D440C9" w:rsidRDefault="00CB431C" w:rsidP="00DD7978">
            <w:pPr>
              <w:rPr>
                <w:rFonts w:ascii="Arial" w:hAnsi="Arial" w:cs="Arial"/>
                <w:sz w:val="18"/>
                <w:szCs w:val="18"/>
                <w:lang w:val="en-GB" w:eastAsia="en-GB"/>
              </w:rPr>
            </w:pPr>
          </w:p>
        </w:tc>
        <w:tc>
          <w:tcPr>
            <w:tcW w:w="1559" w:type="dxa"/>
            <w:tcBorders>
              <w:top w:val="nil"/>
              <w:left w:val="nil"/>
              <w:bottom w:val="nil"/>
              <w:right w:val="nil"/>
            </w:tcBorders>
            <w:shd w:val="clear" w:color="auto" w:fill="auto"/>
            <w:noWrap/>
            <w:vAlign w:val="bottom"/>
            <w:hideMark/>
          </w:tcPr>
          <w:p w:rsidR="00CB431C" w:rsidRPr="00D440C9" w:rsidRDefault="00CB431C" w:rsidP="00DD7978">
            <w:pPr>
              <w:jc w:val="right"/>
              <w:rPr>
                <w:rFonts w:ascii="Arial" w:hAnsi="Arial" w:cs="Arial"/>
                <w:sz w:val="18"/>
                <w:szCs w:val="18"/>
                <w:lang w:val="en-GB" w:eastAsia="en-GB"/>
              </w:rPr>
            </w:pPr>
          </w:p>
        </w:tc>
        <w:tc>
          <w:tcPr>
            <w:tcW w:w="992" w:type="dxa"/>
            <w:tcBorders>
              <w:top w:val="nil"/>
              <w:left w:val="nil"/>
              <w:bottom w:val="nil"/>
              <w:right w:val="nil"/>
            </w:tcBorders>
          </w:tcPr>
          <w:p w:rsidR="00CB431C" w:rsidRDefault="00CB431C" w:rsidP="00DD7978">
            <w:pPr>
              <w:jc w:val="right"/>
              <w:rPr>
                <w:rFonts w:ascii="Arial" w:hAnsi="Arial" w:cs="Arial"/>
                <w:b/>
                <w:bCs/>
                <w:sz w:val="18"/>
                <w:szCs w:val="18"/>
                <w:lang w:val="en-GB" w:eastAsia="en-GB"/>
              </w:rPr>
            </w:pPr>
          </w:p>
        </w:tc>
        <w:tc>
          <w:tcPr>
            <w:tcW w:w="992" w:type="dxa"/>
            <w:tcBorders>
              <w:top w:val="nil"/>
              <w:left w:val="nil"/>
              <w:bottom w:val="nil"/>
              <w:right w:val="nil"/>
            </w:tcBorders>
            <w:shd w:val="clear" w:color="auto" w:fill="auto"/>
            <w:noWrap/>
            <w:vAlign w:val="bottom"/>
            <w:hideMark/>
          </w:tcPr>
          <w:p w:rsidR="00CB431C" w:rsidRPr="00D440C9" w:rsidRDefault="00CB431C" w:rsidP="00DD7978">
            <w:pPr>
              <w:jc w:val="right"/>
              <w:rPr>
                <w:rFonts w:ascii="Arial" w:hAnsi="Arial" w:cs="Arial"/>
                <w:b/>
                <w:bCs/>
                <w:sz w:val="18"/>
                <w:szCs w:val="18"/>
                <w:lang w:eastAsia="en-GB"/>
              </w:rPr>
            </w:pPr>
            <w:r>
              <w:rPr>
                <w:rFonts w:ascii="Arial" w:hAnsi="Arial" w:cs="Arial"/>
                <w:b/>
                <w:bCs/>
                <w:sz w:val="18"/>
                <w:szCs w:val="18"/>
                <w:lang w:eastAsia="en-GB"/>
              </w:rPr>
              <w:t>(2,888</w:t>
            </w:r>
            <w:r w:rsidRPr="00D440C9">
              <w:rPr>
                <w:rFonts w:ascii="Arial" w:hAnsi="Arial" w:cs="Arial"/>
                <w:b/>
                <w:bCs/>
                <w:sz w:val="18"/>
                <w:szCs w:val="18"/>
                <w:lang w:eastAsia="en-GB"/>
              </w:rPr>
              <w:t>)</w:t>
            </w:r>
          </w:p>
        </w:tc>
      </w:tr>
      <w:tr w:rsidR="00CB431C" w:rsidRPr="00D440C9" w:rsidTr="00BD02D4">
        <w:trPr>
          <w:trHeight w:val="495"/>
        </w:trPr>
        <w:tc>
          <w:tcPr>
            <w:tcW w:w="3544" w:type="dxa"/>
            <w:gridSpan w:val="2"/>
            <w:tcBorders>
              <w:top w:val="single" w:sz="4" w:space="0" w:color="auto"/>
              <w:left w:val="nil"/>
              <w:bottom w:val="single" w:sz="8" w:space="0" w:color="auto"/>
              <w:right w:val="nil"/>
            </w:tcBorders>
            <w:shd w:val="clear" w:color="auto" w:fill="auto"/>
            <w:vAlign w:val="bottom"/>
            <w:hideMark/>
          </w:tcPr>
          <w:p w:rsidR="00CB431C" w:rsidRPr="00D440C9" w:rsidRDefault="00CB431C" w:rsidP="00DD7978">
            <w:pPr>
              <w:rPr>
                <w:rFonts w:ascii="Arial" w:hAnsi="Arial" w:cs="Arial"/>
                <w:sz w:val="18"/>
                <w:szCs w:val="18"/>
                <w:lang w:val="en-GB" w:eastAsia="en-GB"/>
              </w:rPr>
            </w:pPr>
            <w:r w:rsidRPr="00D440C9">
              <w:rPr>
                <w:rFonts w:ascii="Arial" w:hAnsi="Arial" w:cs="Arial"/>
                <w:sz w:val="18"/>
                <w:szCs w:val="18"/>
                <w:lang w:val="en-GB" w:eastAsia="en-GB"/>
              </w:rPr>
              <w:t xml:space="preserve">Profit for the </w:t>
            </w:r>
            <w:r>
              <w:rPr>
                <w:rFonts w:ascii="Arial" w:hAnsi="Arial" w:cs="Arial"/>
                <w:sz w:val="18"/>
                <w:szCs w:val="18"/>
                <w:lang w:val="en-GB" w:eastAsia="en-GB"/>
              </w:rPr>
              <w:t>year</w:t>
            </w:r>
            <w:r w:rsidRPr="00D440C9">
              <w:rPr>
                <w:rFonts w:ascii="Arial" w:hAnsi="Arial" w:cs="Arial"/>
                <w:sz w:val="18"/>
                <w:szCs w:val="18"/>
                <w:lang w:val="en-GB" w:eastAsia="en-GB"/>
              </w:rPr>
              <w:t xml:space="preserve"> attributable to shareholders from continuing operations</w:t>
            </w:r>
          </w:p>
        </w:tc>
        <w:tc>
          <w:tcPr>
            <w:tcW w:w="709" w:type="dxa"/>
            <w:tcBorders>
              <w:top w:val="single" w:sz="4" w:space="0" w:color="auto"/>
              <w:left w:val="nil"/>
              <w:bottom w:val="single" w:sz="8" w:space="0" w:color="auto"/>
              <w:right w:val="nil"/>
            </w:tcBorders>
            <w:shd w:val="clear" w:color="auto" w:fill="auto"/>
            <w:noWrap/>
            <w:vAlign w:val="bottom"/>
            <w:hideMark/>
          </w:tcPr>
          <w:p w:rsidR="00CB431C" w:rsidRPr="00D440C9" w:rsidRDefault="00CB431C" w:rsidP="00DD7978">
            <w:pPr>
              <w:rPr>
                <w:rFonts w:ascii="Arial" w:hAnsi="Arial" w:cs="Arial"/>
                <w:sz w:val="18"/>
                <w:szCs w:val="18"/>
                <w:lang w:val="en-GB" w:eastAsia="en-GB"/>
              </w:rPr>
            </w:pPr>
            <w:r w:rsidRPr="00D440C9">
              <w:rPr>
                <w:rFonts w:ascii="Arial" w:hAnsi="Arial" w:cs="Arial"/>
                <w:sz w:val="18"/>
                <w:szCs w:val="18"/>
                <w:lang w:val="en-GB" w:eastAsia="en-GB"/>
              </w:rPr>
              <w:t> </w:t>
            </w:r>
          </w:p>
        </w:tc>
        <w:tc>
          <w:tcPr>
            <w:tcW w:w="1134" w:type="dxa"/>
            <w:tcBorders>
              <w:top w:val="single" w:sz="4" w:space="0" w:color="auto"/>
              <w:left w:val="nil"/>
              <w:bottom w:val="single" w:sz="8" w:space="0" w:color="auto"/>
              <w:right w:val="nil"/>
            </w:tcBorders>
            <w:shd w:val="clear" w:color="auto" w:fill="auto"/>
            <w:noWrap/>
            <w:vAlign w:val="bottom"/>
            <w:hideMark/>
          </w:tcPr>
          <w:p w:rsidR="00CB431C" w:rsidRPr="00D440C9" w:rsidRDefault="00CB431C" w:rsidP="00DD7978">
            <w:pPr>
              <w:rPr>
                <w:rFonts w:ascii="Arial" w:hAnsi="Arial" w:cs="Arial"/>
                <w:sz w:val="18"/>
                <w:szCs w:val="18"/>
                <w:lang w:val="en-GB" w:eastAsia="en-GB"/>
              </w:rPr>
            </w:pPr>
            <w:r w:rsidRPr="00D440C9">
              <w:rPr>
                <w:rFonts w:ascii="Arial" w:hAnsi="Arial" w:cs="Arial"/>
                <w:sz w:val="18"/>
                <w:szCs w:val="18"/>
                <w:lang w:val="en-GB" w:eastAsia="en-GB"/>
              </w:rPr>
              <w:t> </w:t>
            </w:r>
          </w:p>
        </w:tc>
        <w:tc>
          <w:tcPr>
            <w:tcW w:w="1134" w:type="dxa"/>
            <w:tcBorders>
              <w:top w:val="single" w:sz="4" w:space="0" w:color="auto"/>
              <w:left w:val="nil"/>
              <w:bottom w:val="single" w:sz="8" w:space="0" w:color="auto"/>
              <w:right w:val="nil"/>
            </w:tcBorders>
            <w:shd w:val="clear" w:color="auto" w:fill="auto"/>
            <w:noWrap/>
            <w:vAlign w:val="bottom"/>
            <w:hideMark/>
          </w:tcPr>
          <w:p w:rsidR="00CB431C" w:rsidRPr="00D440C9" w:rsidRDefault="00CB431C" w:rsidP="00DD7978">
            <w:pPr>
              <w:rPr>
                <w:rFonts w:ascii="Arial" w:hAnsi="Arial" w:cs="Arial"/>
                <w:sz w:val="18"/>
                <w:szCs w:val="18"/>
                <w:lang w:val="en-GB" w:eastAsia="en-GB"/>
              </w:rPr>
            </w:pPr>
            <w:r w:rsidRPr="00D440C9">
              <w:rPr>
                <w:rFonts w:ascii="Arial" w:hAnsi="Arial" w:cs="Arial"/>
                <w:sz w:val="18"/>
                <w:szCs w:val="18"/>
                <w:lang w:val="en-GB" w:eastAsia="en-GB"/>
              </w:rPr>
              <w:t> </w:t>
            </w:r>
          </w:p>
        </w:tc>
        <w:tc>
          <w:tcPr>
            <w:tcW w:w="1559" w:type="dxa"/>
            <w:tcBorders>
              <w:top w:val="single" w:sz="4" w:space="0" w:color="auto"/>
              <w:left w:val="nil"/>
              <w:bottom w:val="single" w:sz="8" w:space="0" w:color="auto"/>
              <w:right w:val="nil"/>
            </w:tcBorders>
            <w:shd w:val="clear" w:color="auto" w:fill="auto"/>
            <w:noWrap/>
            <w:vAlign w:val="bottom"/>
            <w:hideMark/>
          </w:tcPr>
          <w:p w:rsidR="00CB431C" w:rsidRPr="00D440C9" w:rsidRDefault="00CB431C" w:rsidP="00DD7978">
            <w:pPr>
              <w:jc w:val="right"/>
              <w:rPr>
                <w:rFonts w:ascii="Arial" w:hAnsi="Arial" w:cs="Arial"/>
                <w:sz w:val="18"/>
                <w:szCs w:val="18"/>
                <w:lang w:val="en-GB" w:eastAsia="en-GB"/>
              </w:rPr>
            </w:pPr>
            <w:r w:rsidRPr="00D440C9">
              <w:rPr>
                <w:rFonts w:ascii="Arial" w:hAnsi="Arial" w:cs="Arial"/>
                <w:sz w:val="18"/>
                <w:szCs w:val="18"/>
                <w:lang w:val="en-GB" w:eastAsia="en-GB"/>
              </w:rPr>
              <w:t> </w:t>
            </w:r>
          </w:p>
        </w:tc>
        <w:tc>
          <w:tcPr>
            <w:tcW w:w="992" w:type="dxa"/>
            <w:tcBorders>
              <w:top w:val="single" w:sz="4" w:space="0" w:color="auto"/>
              <w:left w:val="nil"/>
              <w:bottom w:val="single" w:sz="8" w:space="0" w:color="auto"/>
              <w:right w:val="nil"/>
            </w:tcBorders>
          </w:tcPr>
          <w:p w:rsidR="00CB431C" w:rsidRDefault="00CB431C" w:rsidP="00DD7978">
            <w:pPr>
              <w:jc w:val="right"/>
              <w:rPr>
                <w:rFonts w:ascii="Arial" w:hAnsi="Arial" w:cs="Arial"/>
                <w:b/>
                <w:bCs/>
                <w:sz w:val="18"/>
                <w:szCs w:val="18"/>
                <w:lang w:val="en-GB" w:eastAsia="en-GB"/>
              </w:rPr>
            </w:pPr>
          </w:p>
        </w:tc>
        <w:tc>
          <w:tcPr>
            <w:tcW w:w="992" w:type="dxa"/>
            <w:tcBorders>
              <w:top w:val="single" w:sz="4" w:space="0" w:color="auto"/>
              <w:left w:val="nil"/>
              <w:bottom w:val="single" w:sz="8" w:space="0" w:color="auto"/>
              <w:right w:val="nil"/>
            </w:tcBorders>
            <w:shd w:val="clear" w:color="auto" w:fill="auto"/>
            <w:noWrap/>
            <w:vAlign w:val="bottom"/>
            <w:hideMark/>
          </w:tcPr>
          <w:p w:rsidR="00CB431C" w:rsidRPr="00D440C9" w:rsidRDefault="00CB431C" w:rsidP="00DD7978">
            <w:pPr>
              <w:jc w:val="right"/>
              <w:rPr>
                <w:rFonts w:ascii="Arial" w:hAnsi="Arial" w:cs="Arial"/>
                <w:b/>
                <w:bCs/>
                <w:sz w:val="18"/>
                <w:szCs w:val="18"/>
                <w:lang w:eastAsia="en-GB"/>
              </w:rPr>
            </w:pPr>
            <w:r>
              <w:rPr>
                <w:rFonts w:ascii="Arial" w:hAnsi="Arial" w:cs="Arial"/>
                <w:b/>
                <w:bCs/>
                <w:sz w:val="18"/>
                <w:szCs w:val="18"/>
                <w:lang w:eastAsia="en-GB"/>
              </w:rPr>
              <w:t>6,902</w:t>
            </w:r>
          </w:p>
        </w:tc>
      </w:tr>
    </w:tbl>
    <w:p w:rsidR="00D9454D" w:rsidRPr="009377B0" w:rsidRDefault="00D9454D">
      <w:pPr>
        <w:rPr>
          <w:rFonts w:ascii="Arial" w:hAnsi="Arial" w:cs="Arial"/>
          <w:sz w:val="22"/>
          <w:szCs w:val="22"/>
          <w:lang w:val="en-GB"/>
        </w:rPr>
      </w:pPr>
    </w:p>
    <w:p w:rsidR="00AC5E4A" w:rsidRPr="009377B0" w:rsidRDefault="00AC5E4A">
      <w:pPr>
        <w:rPr>
          <w:rFonts w:ascii="Arial" w:hAnsi="Arial" w:cs="Arial"/>
          <w:sz w:val="20"/>
          <w:lang w:val="en-GB"/>
        </w:rPr>
      </w:pPr>
    </w:p>
    <w:p w:rsidR="009377B0" w:rsidRPr="009377B0" w:rsidRDefault="009377B0">
      <w:pPr>
        <w:rPr>
          <w:rFonts w:ascii="Arial" w:hAnsi="Arial" w:cs="Arial"/>
          <w:sz w:val="20"/>
          <w:lang w:val="en-GB"/>
        </w:rPr>
      </w:pPr>
    </w:p>
    <w:p w:rsidR="009377B0" w:rsidRPr="009377B0" w:rsidRDefault="009377B0">
      <w:pPr>
        <w:rPr>
          <w:rFonts w:ascii="Arial" w:hAnsi="Arial" w:cs="Arial"/>
          <w:sz w:val="20"/>
          <w:lang w:val="en-GB"/>
        </w:rPr>
      </w:pPr>
    </w:p>
    <w:p w:rsidR="009377B0" w:rsidRDefault="009377B0">
      <w:pPr>
        <w:rPr>
          <w:rFonts w:ascii="Arial" w:hAnsi="Arial" w:cs="Arial"/>
          <w:sz w:val="20"/>
          <w:lang w:val="en-GB"/>
        </w:rPr>
      </w:pPr>
    </w:p>
    <w:p w:rsidR="0014028B" w:rsidRPr="00D440C9" w:rsidRDefault="0014028B" w:rsidP="0014028B">
      <w:pPr>
        <w:pStyle w:val="HTMLPreformatted"/>
        <w:rPr>
          <w:rFonts w:ascii="Arial" w:hAnsi="Arial" w:cs="Arial"/>
          <w:b/>
          <w:bCs/>
        </w:rPr>
      </w:pPr>
      <w:r w:rsidRPr="00D440C9">
        <w:rPr>
          <w:rFonts w:ascii="Arial" w:hAnsi="Arial" w:cs="Arial"/>
          <w:b/>
          <w:bCs/>
        </w:rPr>
        <w:lastRenderedPageBreak/>
        <w:t>Braemar Shipping Services PLC</w:t>
      </w:r>
    </w:p>
    <w:p w:rsidR="0014028B" w:rsidRPr="00D440C9" w:rsidRDefault="0014028B" w:rsidP="0014028B">
      <w:pPr>
        <w:tabs>
          <w:tab w:val="left" w:pos="0"/>
          <w:tab w:val="left" w:pos="142"/>
          <w:tab w:val="right" w:pos="3960"/>
          <w:tab w:val="decimal" w:pos="5688"/>
          <w:tab w:val="decimal" w:pos="7272"/>
          <w:tab w:val="decimal" w:pos="8712"/>
          <w:tab w:val="decimal" w:pos="9864"/>
        </w:tabs>
        <w:rPr>
          <w:rFonts w:ascii="Arial" w:hAnsi="Arial" w:cs="Arial"/>
          <w:b/>
          <w:bCs/>
          <w:lang w:val="en-GB"/>
        </w:rPr>
      </w:pPr>
      <w:r w:rsidRPr="00D440C9">
        <w:rPr>
          <w:rFonts w:ascii="Arial" w:hAnsi="Arial" w:cs="Arial"/>
          <w:b/>
          <w:bCs/>
          <w:lang w:val="en-GB"/>
        </w:rPr>
        <w:t>Notes to the financial statements</w:t>
      </w:r>
      <w:r w:rsidRPr="00D440C9">
        <w:rPr>
          <w:rFonts w:ascii="Arial" w:hAnsi="Arial" w:cs="Arial"/>
          <w:b/>
          <w:bCs/>
          <w:lang w:val="en-GB"/>
        </w:rPr>
        <w:tab/>
      </w:r>
    </w:p>
    <w:p w:rsidR="0014028B" w:rsidRPr="009377B0" w:rsidRDefault="0014028B">
      <w:pPr>
        <w:rPr>
          <w:rFonts w:ascii="Arial" w:hAnsi="Arial" w:cs="Arial"/>
          <w:sz w:val="20"/>
          <w:lang w:val="en-GB"/>
        </w:rPr>
      </w:pPr>
    </w:p>
    <w:p w:rsidR="0014028B" w:rsidRPr="00897A64" w:rsidRDefault="009377B0" w:rsidP="00DA2F82">
      <w:pPr>
        <w:spacing w:after="120"/>
        <w:jc w:val="both"/>
        <w:rPr>
          <w:rFonts w:ascii="Arial" w:hAnsi="Arial" w:cs="Arial"/>
          <w:b/>
          <w:sz w:val="20"/>
          <w:lang w:val="en-GB"/>
        </w:rPr>
      </w:pPr>
      <w:r w:rsidRPr="00897A64">
        <w:rPr>
          <w:rFonts w:ascii="Arial" w:hAnsi="Arial" w:cs="Arial"/>
          <w:b/>
          <w:sz w:val="20"/>
        </w:rPr>
        <w:t>Note 4 – Non-recurring income and expenses</w:t>
      </w:r>
    </w:p>
    <w:p w:rsidR="00DD7978" w:rsidRDefault="00DD7978" w:rsidP="009E3AE5">
      <w:pPr>
        <w:pStyle w:val="03Bodynospace"/>
        <w:spacing w:after="120"/>
        <w:jc w:val="both"/>
        <w:rPr>
          <w:rFonts w:cs="Arial"/>
          <w:sz w:val="20"/>
          <w:szCs w:val="20"/>
        </w:rPr>
      </w:pPr>
      <w:r>
        <w:rPr>
          <w:rFonts w:cs="Arial"/>
          <w:sz w:val="20"/>
          <w:szCs w:val="20"/>
        </w:rPr>
        <w:t>There were no non-recurring items charged or credited to the income statement in the year ended 28 February 2013.</w:t>
      </w:r>
    </w:p>
    <w:p w:rsidR="009377B0" w:rsidRPr="009377B0" w:rsidRDefault="009377B0" w:rsidP="00DA2F82">
      <w:pPr>
        <w:pStyle w:val="03Bodynospace"/>
        <w:jc w:val="both"/>
        <w:rPr>
          <w:rFonts w:cs="Arial"/>
          <w:sz w:val="20"/>
          <w:szCs w:val="20"/>
        </w:rPr>
      </w:pPr>
      <w:r w:rsidRPr="001953B9">
        <w:rPr>
          <w:rFonts w:cs="Arial"/>
          <w:sz w:val="20"/>
          <w:szCs w:val="20"/>
        </w:rPr>
        <w:t xml:space="preserve">During the year ended 29 February 2012, the Group incurred </w:t>
      </w:r>
      <w:proofErr w:type="spellStart"/>
      <w:r w:rsidR="001953B9">
        <w:rPr>
          <w:rFonts w:cs="Arial"/>
          <w:sz w:val="20"/>
          <w:szCs w:val="20"/>
        </w:rPr>
        <w:t>incurr</w:t>
      </w:r>
      <w:r w:rsidR="001953B9" w:rsidRPr="001953B9">
        <w:rPr>
          <w:rFonts w:cs="Arial"/>
          <w:sz w:val="20"/>
          <w:szCs w:val="20"/>
        </w:rPr>
        <w:t>ed</w:t>
      </w:r>
      <w:proofErr w:type="spellEnd"/>
      <w:r w:rsidR="001953B9" w:rsidRPr="001953B9">
        <w:rPr>
          <w:rFonts w:cs="Arial"/>
          <w:sz w:val="20"/>
          <w:szCs w:val="20"/>
        </w:rPr>
        <w:t xml:space="preserve"> net £69,000 non-recurring income relating to acquisitions of BMT Marine and Offshore Services Limited (£856,000 credit) and Braemar Casbarian </w:t>
      </w:r>
      <w:proofErr w:type="spellStart"/>
      <w:r w:rsidR="001953B9" w:rsidRPr="001953B9">
        <w:rPr>
          <w:rFonts w:cs="Arial"/>
          <w:sz w:val="20"/>
          <w:szCs w:val="20"/>
        </w:rPr>
        <w:t>Inc</w:t>
      </w:r>
      <w:proofErr w:type="spellEnd"/>
      <w:r w:rsidR="001953B9" w:rsidRPr="001953B9">
        <w:rPr>
          <w:rFonts w:cs="Arial"/>
          <w:sz w:val="20"/>
          <w:szCs w:val="20"/>
        </w:rPr>
        <w:t xml:space="preserve"> (£108,000 debit), together with costs associated with closing the business of Braemar Futures Limited (£354,000 debit) and disposing of Braemar </w:t>
      </w:r>
      <w:proofErr w:type="spellStart"/>
      <w:r w:rsidR="001953B9" w:rsidRPr="001953B9">
        <w:rPr>
          <w:rFonts w:cs="Arial"/>
          <w:sz w:val="20"/>
          <w:szCs w:val="20"/>
        </w:rPr>
        <w:t>Steege</w:t>
      </w:r>
      <w:proofErr w:type="spellEnd"/>
      <w:r w:rsidR="001953B9" w:rsidRPr="001953B9">
        <w:rPr>
          <w:rFonts w:cs="Arial"/>
          <w:sz w:val="20"/>
          <w:szCs w:val="20"/>
        </w:rPr>
        <w:t xml:space="preserve"> de Mexico (£325,000 debit).</w:t>
      </w:r>
    </w:p>
    <w:p w:rsidR="00821AB3" w:rsidRDefault="00821AB3" w:rsidP="00DA2F82">
      <w:pPr>
        <w:pStyle w:val="BodyTextIndent"/>
        <w:tabs>
          <w:tab w:val="clear" w:pos="431"/>
        </w:tabs>
        <w:ind w:left="0"/>
        <w:jc w:val="both"/>
        <w:rPr>
          <w:rFonts w:ascii="Arial" w:hAnsi="Arial" w:cs="Arial"/>
          <w:b/>
          <w:bCs/>
          <w:sz w:val="20"/>
        </w:rPr>
      </w:pPr>
    </w:p>
    <w:p w:rsidR="009E3AE5" w:rsidRPr="00D440C9" w:rsidRDefault="009E3AE5" w:rsidP="00DA2F82">
      <w:pPr>
        <w:pStyle w:val="BodyTextIndent"/>
        <w:tabs>
          <w:tab w:val="clear" w:pos="431"/>
        </w:tabs>
        <w:ind w:left="0"/>
        <w:jc w:val="both"/>
        <w:rPr>
          <w:rFonts w:ascii="Arial" w:hAnsi="Arial" w:cs="Arial"/>
          <w:b/>
          <w:bCs/>
          <w:sz w:val="20"/>
        </w:rPr>
      </w:pPr>
    </w:p>
    <w:p w:rsidR="00AC5E4A" w:rsidRPr="00D440C9" w:rsidRDefault="00AC5E4A" w:rsidP="00DA2F82">
      <w:pPr>
        <w:pStyle w:val="BodyTextIndent"/>
        <w:tabs>
          <w:tab w:val="clear" w:pos="431"/>
        </w:tabs>
        <w:spacing w:after="120"/>
        <w:ind w:left="0"/>
        <w:jc w:val="both"/>
        <w:rPr>
          <w:rFonts w:ascii="Arial" w:hAnsi="Arial" w:cs="Arial"/>
          <w:b/>
          <w:bCs/>
          <w:sz w:val="20"/>
        </w:rPr>
      </w:pPr>
      <w:r w:rsidRPr="00D440C9">
        <w:rPr>
          <w:rFonts w:ascii="Arial" w:hAnsi="Arial" w:cs="Arial"/>
          <w:b/>
          <w:bCs/>
          <w:sz w:val="20"/>
        </w:rPr>
        <w:t xml:space="preserve">Note </w:t>
      </w:r>
      <w:r w:rsidR="009377B0">
        <w:rPr>
          <w:rFonts w:ascii="Arial" w:hAnsi="Arial" w:cs="Arial"/>
          <w:b/>
          <w:bCs/>
          <w:sz w:val="20"/>
        </w:rPr>
        <w:t>5</w:t>
      </w:r>
      <w:r w:rsidRPr="00D440C9">
        <w:rPr>
          <w:rFonts w:ascii="Arial" w:hAnsi="Arial" w:cs="Arial"/>
          <w:b/>
          <w:bCs/>
          <w:sz w:val="20"/>
        </w:rPr>
        <w:t xml:space="preserve"> – Dividend</w:t>
      </w:r>
    </w:p>
    <w:p w:rsidR="00AC5E4A" w:rsidRPr="00D440C9" w:rsidRDefault="00AC5E4A" w:rsidP="00DA2F82">
      <w:pPr>
        <w:pStyle w:val="BodyTextIndent"/>
        <w:tabs>
          <w:tab w:val="clear" w:pos="431"/>
        </w:tabs>
        <w:ind w:left="0"/>
        <w:jc w:val="both"/>
        <w:rPr>
          <w:rFonts w:ascii="Arial" w:hAnsi="Arial" w:cs="Arial"/>
          <w:sz w:val="20"/>
        </w:rPr>
      </w:pPr>
      <w:r w:rsidRPr="00D440C9">
        <w:rPr>
          <w:rFonts w:ascii="Arial" w:hAnsi="Arial" w:cs="Arial"/>
          <w:sz w:val="20"/>
        </w:rPr>
        <w:t xml:space="preserve">The proposed final dividend of </w:t>
      </w:r>
      <w:r w:rsidR="00783986" w:rsidRPr="00985F45">
        <w:rPr>
          <w:rFonts w:ascii="Arial" w:hAnsi="Arial" w:cs="Arial"/>
          <w:sz w:val="20"/>
        </w:rPr>
        <w:t>1</w:t>
      </w:r>
      <w:r w:rsidR="00EA7437" w:rsidRPr="00985F45">
        <w:rPr>
          <w:rFonts w:ascii="Arial" w:hAnsi="Arial" w:cs="Arial"/>
          <w:sz w:val="20"/>
        </w:rPr>
        <w:t>7</w:t>
      </w:r>
      <w:r w:rsidR="00783986" w:rsidRPr="00985F45">
        <w:rPr>
          <w:rFonts w:ascii="Arial" w:hAnsi="Arial" w:cs="Arial"/>
          <w:sz w:val="20"/>
        </w:rPr>
        <w:t>.</w:t>
      </w:r>
      <w:r w:rsidR="00EA7437" w:rsidRPr="00985F45">
        <w:rPr>
          <w:rFonts w:ascii="Arial" w:hAnsi="Arial" w:cs="Arial"/>
          <w:sz w:val="20"/>
        </w:rPr>
        <w:t>0</w:t>
      </w:r>
      <w:r w:rsidRPr="00985F45">
        <w:rPr>
          <w:rFonts w:ascii="Arial" w:hAnsi="Arial" w:cs="Arial"/>
          <w:sz w:val="20"/>
        </w:rPr>
        <w:t xml:space="preserve"> pence</w:t>
      </w:r>
      <w:r w:rsidRPr="00D440C9">
        <w:rPr>
          <w:rFonts w:ascii="Arial" w:hAnsi="Arial" w:cs="Arial"/>
          <w:sz w:val="20"/>
        </w:rPr>
        <w:t xml:space="preserve"> per share (201</w:t>
      </w:r>
      <w:r w:rsidR="00C338F5">
        <w:rPr>
          <w:rFonts w:ascii="Arial" w:hAnsi="Arial" w:cs="Arial"/>
          <w:sz w:val="20"/>
        </w:rPr>
        <w:t>2</w:t>
      </w:r>
      <w:r w:rsidRPr="00D440C9">
        <w:rPr>
          <w:rFonts w:ascii="Arial" w:hAnsi="Arial" w:cs="Arial"/>
          <w:sz w:val="20"/>
        </w:rPr>
        <w:t>: final 1</w:t>
      </w:r>
      <w:r w:rsidR="005705A5">
        <w:rPr>
          <w:rFonts w:ascii="Arial" w:hAnsi="Arial" w:cs="Arial"/>
          <w:sz w:val="20"/>
        </w:rPr>
        <w:t>7.0</w:t>
      </w:r>
      <w:r w:rsidRPr="00D440C9">
        <w:rPr>
          <w:rFonts w:ascii="Arial" w:hAnsi="Arial" w:cs="Arial"/>
          <w:sz w:val="20"/>
        </w:rPr>
        <w:t xml:space="preserve"> pence) takes the total dividend for the </w:t>
      </w:r>
      <w:r w:rsidRPr="00985F45">
        <w:rPr>
          <w:rFonts w:ascii="Arial" w:hAnsi="Arial" w:cs="Arial"/>
          <w:sz w:val="20"/>
        </w:rPr>
        <w:t xml:space="preserve">year to </w:t>
      </w:r>
      <w:r w:rsidR="00783986" w:rsidRPr="00985F45">
        <w:rPr>
          <w:rFonts w:ascii="Arial" w:hAnsi="Arial" w:cs="Arial"/>
          <w:sz w:val="20"/>
        </w:rPr>
        <w:t>2</w:t>
      </w:r>
      <w:r w:rsidR="00EA7437" w:rsidRPr="00985F45">
        <w:rPr>
          <w:rFonts w:ascii="Arial" w:hAnsi="Arial" w:cs="Arial"/>
          <w:sz w:val="20"/>
        </w:rPr>
        <w:t>6</w:t>
      </w:r>
      <w:r w:rsidR="00783986" w:rsidRPr="00985F45">
        <w:rPr>
          <w:rFonts w:ascii="Arial" w:hAnsi="Arial" w:cs="Arial"/>
          <w:sz w:val="20"/>
        </w:rPr>
        <w:t>.</w:t>
      </w:r>
      <w:r w:rsidR="00EA7437" w:rsidRPr="00985F45">
        <w:rPr>
          <w:rFonts w:ascii="Arial" w:hAnsi="Arial" w:cs="Arial"/>
          <w:sz w:val="20"/>
        </w:rPr>
        <w:t>0</w:t>
      </w:r>
      <w:r w:rsidRPr="00985F45">
        <w:rPr>
          <w:rFonts w:ascii="Arial" w:hAnsi="Arial" w:cs="Arial"/>
          <w:sz w:val="20"/>
        </w:rPr>
        <w:t xml:space="preserve"> pence (201</w:t>
      </w:r>
      <w:r w:rsidR="00C338F5">
        <w:rPr>
          <w:rFonts w:ascii="Arial" w:hAnsi="Arial" w:cs="Arial"/>
          <w:sz w:val="20"/>
        </w:rPr>
        <w:t>2</w:t>
      </w:r>
      <w:r w:rsidRPr="00985F45">
        <w:rPr>
          <w:rFonts w:ascii="Arial" w:hAnsi="Arial" w:cs="Arial"/>
          <w:sz w:val="20"/>
        </w:rPr>
        <w:t>: 2</w:t>
      </w:r>
      <w:r w:rsidR="005705A5">
        <w:rPr>
          <w:rFonts w:ascii="Arial" w:hAnsi="Arial" w:cs="Arial"/>
          <w:sz w:val="20"/>
        </w:rPr>
        <w:t>6</w:t>
      </w:r>
      <w:r w:rsidRPr="00985F45">
        <w:rPr>
          <w:rFonts w:ascii="Arial" w:hAnsi="Arial" w:cs="Arial"/>
          <w:sz w:val="20"/>
        </w:rPr>
        <w:t>.</w:t>
      </w:r>
      <w:r w:rsidRPr="00D440C9">
        <w:rPr>
          <w:rFonts w:ascii="Arial" w:hAnsi="Arial" w:cs="Arial"/>
          <w:sz w:val="20"/>
        </w:rPr>
        <w:t>0 pence). The cost of the final dividend will be £3.</w:t>
      </w:r>
      <w:r w:rsidR="00C338F5">
        <w:rPr>
          <w:rFonts w:ascii="Arial" w:hAnsi="Arial" w:cs="Arial"/>
          <w:sz w:val="20"/>
        </w:rPr>
        <w:t>6</w:t>
      </w:r>
      <w:r w:rsidRPr="00D440C9">
        <w:rPr>
          <w:rFonts w:ascii="Arial" w:hAnsi="Arial" w:cs="Arial"/>
          <w:sz w:val="20"/>
        </w:rPr>
        <w:t>m (201</w:t>
      </w:r>
      <w:r w:rsidR="00C338F5">
        <w:rPr>
          <w:rFonts w:ascii="Arial" w:hAnsi="Arial" w:cs="Arial"/>
          <w:sz w:val="20"/>
        </w:rPr>
        <w:t>2</w:t>
      </w:r>
      <w:r w:rsidRPr="00D440C9">
        <w:rPr>
          <w:rFonts w:ascii="Arial" w:hAnsi="Arial" w:cs="Arial"/>
          <w:sz w:val="20"/>
        </w:rPr>
        <w:t>: £3.</w:t>
      </w:r>
      <w:r w:rsidR="00C338F5">
        <w:rPr>
          <w:rFonts w:ascii="Arial" w:hAnsi="Arial" w:cs="Arial"/>
          <w:sz w:val="20"/>
        </w:rPr>
        <w:t>5</w:t>
      </w:r>
      <w:r w:rsidRPr="00D440C9">
        <w:rPr>
          <w:rFonts w:ascii="Arial" w:hAnsi="Arial" w:cs="Arial"/>
          <w:sz w:val="20"/>
        </w:rPr>
        <w:t>m) based on</w:t>
      </w:r>
      <w:r w:rsidR="005A4A60" w:rsidRPr="00D440C9">
        <w:rPr>
          <w:rFonts w:ascii="Arial" w:hAnsi="Arial" w:cs="Arial"/>
          <w:sz w:val="20"/>
        </w:rPr>
        <w:t xml:space="preserve"> 20.</w:t>
      </w:r>
      <w:r w:rsidR="00C338F5">
        <w:rPr>
          <w:rFonts w:ascii="Arial" w:hAnsi="Arial" w:cs="Arial"/>
          <w:sz w:val="20"/>
        </w:rPr>
        <w:t>9</w:t>
      </w:r>
      <w:r w:rsidRPr="00D440C9">
        <w:rPr>
          <w:rFonts w:ascii="Arial" w:hAnsi="Arial" w:cs="Arial"/>
          <w:sz w:val="20"/>
        </w:rPr>
        <w:t>m shares (which excludes shares held in the ESOP for which the dividend has been waived</w:t>
      </w:r>
      <w:r w:rsidR="00783986" w:rsidRPr="00D440C9">
        <w:rPr>
          <w:rFonts w:ascii="Arial" w:hAnsi="Arial" w:cs="Arial"/>
          <w:sz w:val="20"/>
        </w:rPr>
        <w:t>)</w:t>
      </w:r>
      <w:r w:rsidRPr="00D440C9">
        <w:rPr>
          <w:rFonts w:ascii="Arial" w:hAnsi="Arial" w:cs="Arial"/>
          <w:sz w:val="20"/>
        </w:rPr>
        <w:t>.</w:t>
      </w:r>
    </w:p>
    <w:p w:rsidR="00AC5E4A" w:rsidRDefault="00AC5E4A" w:rsidP="00DA2F82">
      <w:pPr>
        <w:pStyle w:val="BodyTextIndent"/>
        <w:tabs>
          <w:tab w:val="clear" w:pos="431"/>
        </w:tabs>
        <w:ind w:left="0"/>
        <w:jc w:val="both"/>
        <w:rPr>
          <w:rFonts w:ascii="Arial" w:hAnsi="Arial" w:cs="Arial"/>
          <w:b/>
          <w:bCs/>
          <w:sz w:val="20"/>
        </w:rPr>
      </w:pPr>
    </w:p>
    <w:p w:rsidR="009E3AE5" w:rsidRPr="00D440C9" w:rsidRDefault="009E3AE5" w:rsidP="00DA2F82">
      <w:pPr>
        <w:pStyle w:val="BodyTextIndent"/>
        <w:tabs>
          <w:tab w:val="clear" w:pos="431"/>
        </w:tabs>
        <w:ind w:left="0"/>
        <w:jc w:val="both"/>
        <w:rPr>
          <w:rFonts w:ascii="Arial" w:hAnsi="Arial" w:cs="Arial"/>
          <w:b/>
          <w:bCs/>
          <w:sz w:val="20"/>
        </w:rPr>
      </w:pPr>
    </w:p>
    <w:p w:rsidR="000433F6" w:rsidRPr="00D440C9" w:rsidRDefault="000433F6" w:rsidP="00DA2F82">
      <w:pPr>
        <w:pStyle w:val="BodyTextIndent"/>
        <w:tabs>
          <w:tab w:val="clear" w:pos="431"/>
        </w:tabs>
        <w:spacing w:after="120"/>
        <w:ind w:left="0"/>
        <w:jc w:val="both"/>
        <w:rPr>
          <w:rFonts w:ascii="Arial" w:hAnsi="Arial" w:cs="Arial"/>
          <w:b/>
          <w:bCs/>
          <w:sz w:val="20"/>
        </w:rPr>
      </w:pPr>
      <w:r w:rsidRPr="00D440C9">
        <w:rPr>
          <w:rFonts w:ascii="Arial" w:hAnsi="Arial" w:cs="Arial"/>
          <w:b/>
          <w:bCs/>
          <w:sz w:val="20"/>
        </w:rPr>
        <w:t xml:space="preserve">Note </w:t>
      </w:r>
      <w:r w:rsidR="009377B0">
        <w:rPr>
          <w:rFonts w:ascii="Arial" w:hAnsi="Arial" w:cs="Arial"/>
          <w:b/>
          <w:bCs/>
          <w:sz w:val="20"/>
        </w:rPr>
        <w:t>6</w:t>
      </w:r>
      <w:r w:rsidRPr="00D440C9">
        <w:rPr>
          <w:rFonts w:ascii="Arial" w:hAnsi="Arial" w:cs="Arial"/>
          <w:b/>
          <w:bCs/>
          <w:sz w:val="20"/>
        </w:rPr>
        <w:t xml:space="preserve"> – Earnings per share</w:t>
      </w:r>
    </w:p>
    <w:p w:rsidR="000433F6" w:rsidRPr="00D440C9" w:rsidRDefault="000433F6" w:rsidP="00E170A2">
      <w:pPr>
        <w:spacing w:after="120"/>
        <w:jc w:val="both"/>
        <w:rPr>
          <w:rFonts w:ascii="Arial" w:hAnsi="Arial" w:cs="Arial"/>
          <w:sz w:val="20"/>
          <w:lang w:val="en-GB"/>
        </w:rPr>
      </w:pPr>
      <w:r w:rsidRPr="00D440C9">
        <w:rPr>
          <w:rFonts w:ascii="Arial" w:hAnsi="Arial" w:cs="Arial"/>
          <w:sz w:val="20"/>
          <w:lang w:val="en-GB"/>
        </w:rPr>
        <w:t xml:space="preserve">Basic earnings per share is calculated by dividing the earnings attributable to ordinary shareholders by the weighted average number of ordinary shares outstanding during the year, excluding </w:t>
      </w:r>
      <w:r w:rsidR="00C338F5">
        <w:rPr>
          <w:rFonts w:ascii="Arial" w:hAnsi="Arial" w:cs="Arial"/>
          <w:sz w:val="20"/>
          <w:lang w:val="en-GB"/>
        </w:rPr>
        <w:t>764</w:t>
      </w:r>
      <w:r w:rsidR="008C27E7" w:rsidRPr="00D440C9">
        <w:rPr>
          <w:rFonts w:ascii="Arial" w:hAnsi="Arial" w:cs="Arial"/>
          <w:sz w:val="20"/>
          <w:lang w:val="en-GB"/>
        </w:rPr>
        <w:t>,</w:t>
      </w:r>
      <w:r w:rsidR="00C338F5">
        <w:rPr>
          <w:rFonts w:ascii="Arial" w:hAnsi="Arial" w:cs="Arial"/>
          <w:sz w:val="20"/>
          <w:lang w:val="en-GB"/>
        </w:rPr>
        <w:t>626</w:t>
      </w:r>
      <w:r w:rsidRPr="00D440C9">
        <w:rPr>
          <w:rFonts w:ascii="Arial" w:hAnsi="Arial" w:cs="Arial"/>
          <w:sz w:val="20"/>
          <w:lang w:val="en-GB"/>
        </w:rPr>
        <w:t xml:space="preserve"> ordinary shares held by the employee share trust (20</w:t>
      </w:r>
      <w:r w:rsidR="005A4A60" w:rsidRPr="00D440C9">
        <w:rPr>
          <w:rFonts w:ascii="Arial" w:hAnsi="Arial" w:cs="Arial"/>
          <w:sz w:val="20"/>
          <w:lang w:val="en-GB"/>
        </w:rPr>
        <w:t>1</w:t>
      </w:r>
      <w:r w:rsidR="00C338F5">
        <w:rPr>
          <w:rFonts w:ascii="Arial" w:hAnsi="Arial" w:cs="Arial"/>
          <w:sz w:val="20"/>
          <w:lang w:val="en-GB"/>
        </w:rPr>
        <w:t>2</w:t>
      </w:r>
      <w:r w:rsidRPr="00D440C9">
        <w:rPr>
          <w:rFonts w:ascii="Arial" w:hAnsi="Arial" w:cs="Arial"/>
          <w:sz w:val="20"/>
          <w:lang w:val="en-GB"/>
        </w:rPr>
        <w:t>:</w:t>
      </w:r>
      <w:r w:rsidR="005A4A60" w:rsidRPr="00D440C9">
        <w:rPr>
          <w:rFonts w:ascii="Arial" w:hAnsi="Arial" w:cs="Arial"/>
          <w:sz w:val="20"/>
          <w:lang w:val="en-GB"/>
        </w:rPr>
        <w:t xml:space="preserve"> 8</w:t>
      </w:r>
      <w:r w:rsidR="00C338F5">
        <w:rPr>
          <w:rFonts w:ascii="Arial" w:hAnsi="Arial" w:cs="Arial"/>
          <w:sz w:val="20"/>
          <w:lang w:val="en-GB"/>
        </w:rPr>
        <w:t>7</w:t>
      </w:r>
      <w:r w:rsidR="005705A5">
        <w:rPr>
          <w:rFonts w:ascii="Arial" w:hAnsi="Arial" w:cs="Arial"/>
          <w:sz w:val="20"/>
          <w:lang w:val="en-GB"/>
        </w:rPr>
        <w:t>7</w:t>
      </w:r>
      <w:r w:rsidRPr="00D440C9">
        <w:rPr>
          <w:rFonts w:ascii="Arial" w:hAnsi="Arial" w:cs="Arial"/>
          <w:sz w:val="20"/>
          <w:lang w:val="en-GB"/>
        </w:rPr>
        <w:t>,</w:t>
      </w:r>
      <w:r w:rsidR="00C338F5">
        <w:rPr>
          <w:rFonts w:ascii="Arial" w:hAnsi="Arial" w:cs="Arial"/>
          <w:sz w:val="20"/>
          <w:lang w:val="en-GB"/>
        </w:rPr>
        <w:t>709</w:t>
      </w:r>
      <w:r w:rsidRPr="00D440C9">
        <w:rPr>
          <w:rFonts w:ascii="Arial" w:hAnsi="Arial" w:cs="Arial"/>
          <w:sz w:val="20"/>
          <w:lang w:val="en-GB"/>
        </w:rPr>
        <w:t>) which are treated as cancelled.</w:t>
      </w:r>
      <w:r w:rsidR="00B10E8F" w:rsidRPr="00D440C9">
        <w:rPr>
          <w:rFonts w:ascii="Arial" w:hAnsi="Arial" w:cs="Arial"/>
          <w:sz w:val="20"/>
          <w:lang w:val="en-GB"/>
        </w:rPr>
        <w:t xml:space="preserve"> </w:t>
      </w:r>
      <w:r w:rsidRPr="00D440C9">
        <w:rPr>
          <w:rFonts w:ascii="Arial" w:hAnsi="Arial" w:cs="Arial"/>
          <w:sz w:val="20"/>
          <w:lang w:val="en-GB"/>
        </w:rPr>
        <w:t>For diluted earnings per share, the weighted average number of ordinary shares in issue is adjusted to assume conversion of all dilutive ordinary shares. The Group has one class of potential dilutive ordinary shares being those granted to employees where the exercise price is less than the average market price of the Company’s ordinary shares during the year.</w:t>
      </w:r>
    </w:p>
    <w:tbl>
      <w:tblPr>
        <w:tblW w:w="9640" w:type="dxa"/>
        <w:tblInd w:w="108" w:type="dxa"/>
        <w:tblLook w:val="04A0" w:firstRow="1" w:lastRow="0" w:firstColumn="1" w:lastColumn="0" w:noHBand="0" w:noVBand="1"/>
      </w:tblPr>
      <w:tblGrid>
        <w:gridCol w:w="5812"/>
        <w:gridCol w:w="851"/>
        <w:gridCol w:w="1559"/>
        <w:gridCol w:w="1418"/>
      </w:tblGrid>
      <w:tr w:rsidR="005A4A60" w:rsidRPr="00D440C9" w:rsidTr="009E3AE5">
        <w:trPr>
          <w:trHeight w:val="141"/>
        </w:trPr>
        <w:tc>
          <w:tcPr>
            <w:tcW w:w="5812" w:type="dxa"/>
            <w:tcBorders>
              <w:top w:val="nil"/>
              <w:left w:val="nil"/>
              <w:bottom w:val="nil"/>
              <w:right w:val="nil"/>
            </w:tcBorders>
            <w:shd w:val="clear" w:color="auto" w:fill="auto"/>
            <w:noWrap/>
            <w:vAlign w:val="bottom"/>
            <w:hideMark/>
          </w:tcPr>
          <w:p w:rsidR="005A4A60" w:rsidRPr="00D440C9" w:rsidRDefault="005A4A60" w:rsidP="005A4A60">
            <w:pPr>
              <w:rPr>
                <w:rFonts w:ascii="Arial" w:hAnsi="Arial" w:cs="Arial"/>
                <w:sz w:val="18"/>
                <w:szCs w:val="18"/>
                <w:lang w:val="en-GB" w:eastAsia="en-GB"/>
              </w:rPr>
            </w:pPr>
          </w:p>
        </w:tc>
        <w:tc>
          <w:tcPr>
            <w:tcW w:w="851" w:type="dxa"/>
            <w:tcBorders>
              <w:top w:val="nil"/>
              <w:left w:val="nil"/>
              <w:bottom w:val="nil"/>
              <w:right w:val="nil"/>
            </w:tcBorders>
            <w:shd w:val="clear" w:color="auto" w:fill="auto"/>
            <w:noWrap/>
            <w:vAlign w:val="bottom"/>
            <w:hideMark/>
          </w:tcPr>
          <w:p w:rsidR="005A4A60" w:rsidRPr="00D440C9" w:rsidRDefault="005A4A60" w:rsidP="005A4A60">
            <w:pPr>
              <w:jc w:val="center"/>
              <w:rPr>
                <w:rFonts w:ascii="Arial" w:hAnsi="Arial" w:cs="Arial"/>
                <w:sz w:val="18"/>
                <w:szCs w:val="18"/>
                <w:lang w:val="en-GB" w:eastAsia="en-GB"/>
              </w:rPr>
            </w:pPr>
          </w:p>
        </w:tc>
        <w:tc>
          <w:tcPr>
            <w:tcW w:w="1559" w:type="dxa"/>
            <w:tcBorders>
              <w:top w:val="nil"/>
              <w:left w:val="nil"/>
              <w:bottom w:val="nil"/>
              <w:right w:val="nil"/>
            </w:tcBorders>
            <w:shd w:val="clear" w:color="auto" w:fill="auto"/>
            <w:noWrap/>
            <w:vAlign w:val="bottom"/>
            <w:hideMark/>
          </w:tcPr>
          <w:p w:rsidR="005A4A60" w:rsidRPr="00D440C9" w:rsidRDefault="005A4A60" w:rsidP="00806809">
            <w:pPr>
              <w:jc w:val="right"/>
              <w:rPr>
                <w:rFonts w:ascii="Arial" w:hAnsi="Arial" w:cs="Arial"/>
                <w:b/>
                <w:bCs/>
                <w:sz w:val="18"/>
                <w:szCs w:val="18"/>
                <w:lang w:val="en-GB" w:eastAsia="en-GB"/>
              </w:rPr>
            </w:pPr>
            <w:r w:rsidRPr="00D440C9">
              <w:rPr>
                <w:rFonts w:ascii="Arial" w:hAnsi="Arial" w:cs="Arial"/>
                <w:b/>
                <w:bCs/>
                <w:sz w:val="18"/>
                <w:szCs w:val="18"/>
                <w:lang w:val="en-GB" w:eastAsia="en-GB"/>
              </w:rPr>
              <w:t>201</w:t>
            </w:r>
            <w:r w:rsidR="00806809">
              <w:rPr>
                <w:rFonts w:ascii="Arial" w:hAnsi="Arial" w:cs="Arial"/>
                <w:b/>
                <w:bCs/>
                <w:sz w:val="18"/>
                <w:szCs w:val="18"/>
                <w:lang w:val="en-GB" w:eastAsia="en-GB"/>
              </w:rPr>
              <w:t>3</w:t>
            </w:r>
          </w:p>
        </w:tc>
        <w:tc>
          <w:tcPr>
            <w:tcW w:w="1418" w:type="dxa"/>
            <w:tcBorders>
              <w:top w:val="nil"/>
              <w:left w:val="nil"/>
              <w:bottom w:val="nil"/>
              <w:right w:val="nil"/>
            </w:tcBorders>
            <w:shd w:val="clear" w:color="auto" w:fill="auto"/>
            <w:noWrap/>
            <w:vAlign w:val="bottom"/>
            <w:hideMark/>
          </w:tcPr>
          <w:p w:rsidR="005A4A60" w:rsidRPr="00D440C9" w:rsidRDefault="005A4A60" w:rsidP="00806809">
            <w:pPr>
              <w:jc w:val="right"/>
              <w:rPr>
                <w:rFonts w:ascii="Arial" w:hAnsi="Arial" w:cs="Arial"/>
                <w:sz w:val="18"/>
                <w:szCs w:val="18"/>
                <w:lang w:val="en-GB" w:eastAsia="en-GB"/>
              </w:rPr>
            </w:pPr>
            <w:r w:rsidRPr="00D440C9">
              <w:rPr>
                <w:rFonts w:ascii="Arial" w:hAnsi="Arial" w:cs="Arial"/>
                <w:sz w:val="18"/>
                <w:szCs w:val="18"/>
                <w:lang w:val="en-GB" w:eastAsia="en-GB"/>
              </w:rPr>
              <w:t>201</w:t>
            </w:r>
            <w:r w:rsidR="00806809">
              <w:rPr>
                <w:rFonts w:ascii="Arial" w:hAnsi="Arial" w:cs="Arial"/>
                <w:sz w:val="18"/>
                <w:szCs w:val="18"/>
                <w:lang w:val="en-GB" w:eastAsia="en-GB"/>
              </w:rPr>
              <w:t>2</w:t>
            </w:r>
          </w:p>
        </w:tc>
      </w:tr>
      <w:tr w:rsidR="005A4A60" w:rsidRPr="00D440C9" w:rsidTr="009E3AE5">
        <w:trPr>
          <w:trHeight w:val="200"/>
        </w:trPr>
        <w:tc>
          <w:tcPr>
            <w:tcW w:w="5812" w:type="dxa"/>
            <w:tcBorders>
              <w:top w:val="nil"/>
              <w:left w:val="nil"/>
              <w:bottom w:val="single" w:sz="8" w:space="0" w:color="auto"/>
              <w:right w:val="nil"/>
            </w:tcBorders>
            <w:shd w:val="clear" w:color="auto" w:fill="auto"/>
            <w:noWrap/>
            <w:vAlign w:val="bottom"/>
            <w:hideMark/>
          </w:tcPr>
          <w:p w:rsidR="005A4A60" w:rsidRPr="00D440C9" w:rsidRDefault="005A4A60" w:rsidP="005A4A60">
            <w:pPr>
              <w:rPr>
                <w:rFonts w:ascii="Arial" w:hAnsi="Arial" w:cs="Arial"/>
                <w:sz w:val="18"/>
                <w:szCs w:val="18"/>
                <w:lang w:val="en-GB" w:eastAsia="en-GB"/>
              </w:rPr>
            </w:pPr>
            <w:r w:rsidRPr="00D440C9">
              <w:rPr>
                <w:rFonts w:ascii="Arial" w:hAnsi="Arial" w:cs="Arial"/>
                <w:sz w:val="18"/>
                <w:szCs w:val="18"/>
                <w:lang w:val="en-GB" w:eastAsia="en-GB"/>
              </w:rPr>
              <w:t> </w:t>
            </w:r>
          </w:p>
        </w:tc>
        <w:tc>
          <w:tcPr>
            <w:tcW w:w="851" w:type="dxa"/>
            <w:tcBorders>
              <w:top w:val="nil"/>
              <w:left w:val="nil"/>
              <w:bottom w:val="single" w:sz="8" w:space="0" w:color="auto"/>
              <w:right w:val="nil"/>
            </w:tcBorders>
            <w:shd w:val="clear" w:color="auto" w:fill="auto"/>
            <w:noWrap/>
            <w:vAlign w:val="bottom"/>
            <w:hideMark/>
          </w:tcPr>
          <w:p w:rsidR="005A4A60" w:rsidRPr="00D440C9" w:rsidRDefault="005A4A60" w:rsidP="005A4A60">
            <w:pPr>
              <w:rPr>
                <w:rFonts w:ascii="Arial" w:hAnsi="Arial" w:cs="Arial"/>
                <w:sz w:val="18"/>
                <w:szCs w:val="18"/>
                <w:lang w:val="en-GB" w:eastAsia="en-GB"/>
              </w:rPr>
            </w:pPr>
            <w:r w:rsidRPr="00D440C9">
              <w:rPr>
                <w:rFonts w:ascii="Arial" w:hAnsi="Arial" w:cs="Arial"/>
                <w:sz w:val="18"/>
                <w:szCs w:val="18"/>
                <w:lang w:val="en-GB" w:eastAsia="en-GB"/>
              </w:rPr>
              <w:t> </w:t>
            </w:r>
          </w:p>
        </w:tc>
        <w:tc>
          <w:tcPr>
            <w:tcW w:w="1559" w:type="dxa"/>
            <w:tcBorders>
              <w:top w:val="nil"/>
              <w:left w:val="nil"/>
              <w:bottom w:val="single" w:sz="8" w:space="0" w:color="auto"/>
              <w:right w:val="nil"/>
            </w:tcBorders>
            <w:shd w:val="clear" w:color="auto" w:fill="auto"/>
            <w:noWrap/>
            <w:vAlign w:val="bottom"/>
            <w:hideMark/>
          </w:tcPr>
          <w:p w:rsidR="005A4A60" w:rsidRPr="00D440C9" w:rsidRDefault="005A4A60" w:rsidP="005A4A60">
            <w:pPr>
              <w:jc w:val="right"/>
              <w:rPr>
                <w:rFonts w:ascii="Arial" w:hAnsi="Arial" w:cs="Arial"/>
                <w:b/>
                <w:bCs/>
                <w:sz w:val="18"/>
                <w:szCs w:val="18"/>
                <w:lang w:val="en-GB" w:eastAsia="en-GB"/>
              </w:rPr>
            </w:pPr>
            <w:r w:rsidRPr="00D440C9">
              <w:rPr>
                <w:rFonts w:ascii="Arial" w:hAnsi="Arial" w:cs="Arial"/>
                <w:b/>
                <w:bCs/>
                <w:sz w:val="18"/>
                <w:szCs w:val="18"/>
                <w:lang w:val="en-GB" w:eastAsia="en-GB"/>
              </w:rPr>
              <w:t>£'000</w:t>
            </w:r>
          </w:p>
        </w:tc>
        <w:tc>
          <w:tcPr>
            <w:tcW w:w="1418" w:type="dxa"/>
            <w:tcBorders>
              <w:top w:val="nil"/>
              <w:left w:val="nil"/>
              <w:bottom w:val="single" w:sz="8" w:space="0" w:color="auto"/>
              <w:right w:val="nil"/>
            </w:tcBorders>
            <w:shd w:val="clear" w:color="auto" w:fill="auto"/>
            <w:noWrap/>
            <w:vAlign w:val="bottom"/>
            <w:hideMark/>
          </w:tcPr>
          <w:p w:rsidR="005A4A60" w:rsidRPr="00D440C9" w:rsidRDefault="005A4A60" w:rsidP="005A4A60">
            <w:pPr>
              <w:jc w:val="right"/>
              <w:rPr>
                <w:rFonts w:ascii="Arial" w:hAnsi="Arial" w:cs="Arial"/>
                <w:sz w:val="18"/>
                <w:szCs w:val="18"/>
                <w:lang w:val="en-GB" w:eastAsia="en-GB"/>
              </w:rPr>
            </w:pPr>
            <w:r w:rsidRPr="00D440C9">
              <w:rPr>
                <w:rFonts w:ascii="Arial" w:hAnsi="Arial" w:cs="Arial"/>
                <w:sz w:val="18"/>
                <w:szCs w:val="18"/>
                <w:lang w:val="en-GB" w:eastAsia="en-GB"/>
              </w:rPr>
              <w:t>£'000</w:t>
            </w:r>
          </w:p>
        </w:tc>
      </w:tr>
      <w:tr w:rsidR="00806809" w:rsidRPr="00D440C9" w:rsidTr="009E3AE5">
        <w:trPr>
          <w:trHeight w:val="126"/>
        </w:trPr>
        <w:tc>
          <w:tcPr>
            <w:tcW w:w="5812" w:type="dxa"/>
            <w:tcBorders>
              <w:top w:val="nil"/>
              <w:left w:val="nil"/>
              <w:bottom w:val="single" w:sz="4" w:space="0" w:color="auto"/>
              <w:right w:val="nil"/>
            </w:tcBorders>
            <w:shd w:val="clear" w:color="auto" w:fill="auto"/>
            <w:noWrap/>
            <w:vAlign w:val="bottom"/>
            <w:hideMark/>
          </w:tcPr>
          <w:p w:rsidR="00806809" w:rsidRPr="00D440C9" w:rsidRDefault="00806809" w:rsidP="00646413">
            <w:pPr>
              <w:rPr>
                <w:rFonts w:ascii="Arial" w:hAnsi="Arial" w:cs="Arial"/>
                <w:sz w:val="18"/>
                <w:szCs w:val="18"/>
                <w:lang w:val="en-GB" w:eastAsia="en-GB"/>
              </w:rPr>
            </w:pPr>
            <w:r w:rsidRPr="00D440C9">
              <w:rPr>
                <w:rFonts w:ascii="Arial" w:hAnsi="Arial" w:cs="Arial"/>
                <w:sz w:val="18"/>
                <w:szCs w:val="18"/>
                <w:lang w:val="en-GB" w:eastAsia="en-GB"/>
              </w:rPr>
              <w:t xml:space="preserve">Profit for the </w:t>
            </w:r>
            <w:r>
              <w:rPr>
                <w:rFonts w:ascii="Arial" w:hAnsi="Arial" w:cs="Arial"/>
                <w:sz w:val="18"/>
                <w:szCs w:val="18"/>
                <w:lang w:val="en-GB" w:eastAsia="en-GB"/>
              </w:rPr>
              <w:t>year</w:t>
            </w:r>
            <w:r w:rsidRPr="00D440C9">
              <w:rPr>
                <w:rFonts w:ascii="Arial" w:hAnsi="Arial" w:cs="Arial"/>
                <w:sz w:val="18"/>
                <w:szCs w:val="18"/>
                <w:lang w:val="en-GB" w:eastAsia="en-GB"/>
              </w:rPr>
              <w:t xml:space="preserve"> attributable to shareholders</w:t>
            </w:r>
          </w:p>
        </w:tc>
        <w:tc>
          <w:tcPr>
            <w:tcW w:w="851" w:type="dxa"/>
            <w:tcBorders>
              <w:top w:val="nil"/>
              <w:left w:val="nil"/>
              <w:bottom w:val="single" w:sz="4" w:space="0" w:color="auto"/>
              <w:right w:val="nil"/>
            </w:tcBorders>
            <w:shd w:val="clear" w:color="auto" w:fill="auto"/>
            <w:noWrap/>
            <w:vAlign w:val="bottom"/>
            <w:hideMark/>
          </w:tcPr>
          <w:p w:rsidR="00806809" w:rsidRPr="00D440C9" w:rsidRDefault="00806809" w:rsidP="005A4A60">
            <w:pPr>
              <w:rPr>
                <w:rFonts w:ascii="Arial" w:hAnsi="Arial" w:cs="Arial"/>
                <w:sz w:val="18"/>
                <w:szCs w:val="18"/>
                <w:lang w:val="en-GB" w:eastAsia="en-GB"/>
              </w:rPr>
            </w:pPr>
            <w:r w:rsidRPr="00D440C9">
              <w:rPr>
                <w:rFonts w:ascii="Arial" w:hAnsi="Arial" w:cs="Arial"/>
                <w:sz w:val="18"/>
                <w:szCs w:val="18"/>
                <w:lang w:val="en-GB" w:eastAsia="en-GB"/>
              </w:rPr>
              <w:t> </w:t>
            </w:r>
          </w:p>
        </w:tc>
        <w:tc>
          <w:tcPr>
            <w:tcW w:w="1559" w:type="dxa"/>
            <w:tcBorders>
              <w:top w:val="nil"/>
              <w:left w:val="nil"/>
              <w:bottom w:val="single" w:sz="4" w:space="0" w:color="auto"/>
              <w:right w:val="nil"/>
            </w:tcBorders>
            <w:shd w:val="clear" w:color="auto" w:fill="auto"/>
            <w:noWrap/>
            <w:vAlign w:val="bottom"/>
            <w:hideMark/>
          </w:tcPr>
          <w:p w:rsidR="00806809" w:rsidRPr="00D440C9" w:rsidRDefault="00806809" w:rsidP="001237DC">
            <w:pPr>
              <w:jc w:val="right"/>
              <w:rPr>
                <w:rFonts w:ascii="Arial" w:hAnsi="Arial" w:cs="Arial"/>
                <w:b/>
                <w:bCs/>
                <w:sz w:val="18"/>
                <w:szCs w:val="18"/>
                <w:lang w:val="en-GB" w:eastAsia="en-GB"/>
              </w:rPr>
            </w:pPr>
            <w:r>
              <w:rPr>
                <w:rFonts w:ascii="Arial" w:hAnsi="Arial" w:cs="Arial"/>
                <w:b/>
                <w:bCs/>
                <w:sz w:val="18"/>
                <w:szCs w:val="18"/>
                <w:lang w:val="en-GB" w:eastAsia="en-GB"/>
              </w:rPr>
              <w:t xml:space="preserve">           6,824</w:t>
            </w:r>
            <w:r w:rsidRPr="00D440C9">
              <w:rPr>
                <w:rFonts w:ascii="Arial" w:hAnsi="Arial" w:cs="Arial"/>
                <w:b/>
                <w:bCs/>
                <w:sz w:val="18"/>
                <w:szCs w:val="18"/>
                <w:lang w:val="en-GB" w:eastAsia="en-GB"/>
              </w:rPr>
              <w:t xml:space="preserve"> </w:t>
            </w:r>
          </w:p>
        </w:tc>
        <w:tc>
          <w:tcPr>
            <w:tcW w:w="1418" w:type="dxa"/>
            <w:tcBorders>
              <w:top w:val="nil"/>
              <w:left w:val="nil"/>
              <w:bottom w:val="single" w:sz="4" w:space="0" w:color="auto"/>
              <w:right w:val="nil"/>
            </w:tcBorders>
            <w:shd w:val="clear" w:color="auto" w:fill="auto"/>
            <w:noWrap/>
            <w:vAlign w:val="bottom"/>
            <w:hideMark/>
          </w:tcPr>
          <w:p w:rsidR="00806809" w:rsidRPr="00806809" w:rsidRDefault="00806809" w:rsidP="00806809">
            <w:pPr>
              <w:jc w:val="right"/>
              <w:rPr>
                <w:rFonts w:ascii="Arial" w:hAnsi="Arial" w:cs="Arial"/>
                <w:bCs/>
                <w:sz w:val="18"/>
                <w:szCs w:val="18"/>
                <w:lang w:val="en-GB" w:eastAsia="en-GB"/>
              </w:rPr>
            </w:pPr>
            <w:r w:rsidRPr="00806809">
              <w:rPr>
                <w:rFonts w:ascii="Arial" w:hAnsi="Arial" w:cs="Arial"/>
                <w:bCs/>
                <w:sz w:val="18"/>
                <w:szCs w:val="18"/>
                <w:lang w:val="en-GB" w:eastAsia="en-GB"/>
              </w:rPr>
              <w:t xml:space="preserve">           6,841 </w:t>
            </w:r>
          </w:p>
        </w:tc>
      </w:tr>
      <w:tr w:rsidR="00806809" w:rsidRPr="00D440C9" w:rsidTr="00E170A2">
        <w:trPr>
          <w:trHeight w:val="70"/>
        </w:trPr>
        <w:tc>
          <w:tcPr>
            <w:tcW w:w="5812" w:type="dxa"/>
            <w:tcBorders>
              <w:top w:val="nil"/>
              <w:left w:val="nil"/>
              <w:bottom w:val="nil"/>
              <w:right w:val="nil"/>
            </w:tcBorders>
            <w:shd w:val="clear" w:color="auto" w:fill="auto"/>
            <w:noWrap/>
            <w:vAlign w:val="bottom"/>
            <w:hideMark/>
          </w:tcPr>
          <w:p w:rsidR="00806809" w:rsidRPr="00D440C9" w:rsidRDefault="00806809" w:rsidP="005A4A60">
            <w:pPr>
              <w:rPr>
                <w:rFonts w:ascii="Arial" w:hAnsi="Arial" w:cs="Arial"/>
                <w:sz w:val="18"/>
                <w:szCs w:val="18"/>
                <w:lang w:val="en-GB" w:eastAsia="en-GB"/>
              </w:rPr>
            </w:pPr>
          </w:p>
        </w:tc>
        <w:tc>
          <w:tcPr>
            <w:tcW w:w="851" w:type="dxa"/>
            <w:tcBorders>
              <w:top w:val="nil"/>
              <w:left w:val="nil"/>
              <w:bottom w:val="nil"/>
              <w:right w:val="nil"/>
            </w:tcBorders>
            <w:shd w:val="clear" w:color="auto" w:fill="auto"/>
            <w:noWrap/>
            <w:vAlign w:val="bottom"/>
            <w:hideMark/>
          </w:tcPr>
          <w:p w:rsidR="00806809" w:rsidRPr="00D440C9" w:rsidRDefault="00806809" w:rsidP="005A4A60">
            <w:pPr>
              <w:rPr>
                <w:rFonts w:ascii="Arial" w:hAnsi="Arial" w:cs="Arial"/>
                <w:sz w:val="18"/>
                <w:szCs w:val="18"/>
                <w:lang w:val="en-GB" w:eastAsia="en-GB"/>
              </w:rPr>
            </w:pPr>
          </w:p>
        </w:tc>
        <w:tc>
          <w:tcPr>
            <w:tcW w:w="1559" w:type="dxa"/>
            <w:tcBorders>
              <w:top w:val="nil"/>
              <w:left w:val="nil"/>
              <w:bottom w:val="nil"/>
              <w:right w:val="nil"/>
            </w:tcBorders>
            <w:shd w:val="clear" w:color="auto" w:fill="auto"/>
            <w:noWrap/>
            <w:vAlign w:val="bottom"/>
            <w:hideMark/>
          </w:tcPr>
          <w:p w:rsidR="00806809" w:rsidRPr="00D440C9" w:rsidRDefault="00806809" w:rsidP="005A4A60">
            <w:pPr>
              <w:jc w:val="right"/>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806809" w:rsidRPr="00806809" w:rsidRDefault="00806809" w:rsidP="00806809">
            <w:pPr>
              <w:jc w:val="right"/>
              <w:rPr>
                <w:rFonts w:ascii="Arial" w:hAnsi="Arial" w:cs="Arial"/>
                <w:bCs/>
                <w:sz w:val="18"/>
                <w:szCs w:val="18"/>
                <w:lang w:val="en-GB" w:eastAsia="en-GB"/>
              </w:rPr>
            </w:pPr>
          </w:p>
        </w:tc>
      </w:tr>
      <w:tr w:rsidR="00806809" w:rsidRPr="00D440C9" w:rsidTr="009E3AE5">
        <w:trPr>
          <w:trHeight w:val="126"/>
        </w:trPr>
        <w:tc>
          <w:tcPr>
            <w:tcW w:w="5812" w:type="dxa"/>
            <w:tcBorders>
              <w:top w:val="nil"/>
              <w:left w:val="nil"/>
              <w:bottom w:val="single" w:sz="4" w:space="0" w:color="auto"/>
              <w:right w:val="nil"/>
            </w:tcBorders>
            <w:shd w:val="clear" w:color="auto" w:fill="auto"/>
            <w:noWrap/>
            <w:vAlign w:val="bottom"/>
            <w:hideMark/>
          </w:tcPr>
          <w:p w:rsidR="00806809" w:rsidRPr="00D440C9" w:rsidRDefault="00806809" w:rsidP="005A4A60">
            <w:pPr>
              <w:rPr>
                <w:rFonts w:ascii="Arial" w:hAnsi="Arial" w:cs="Arial"/>
                <w:sz w:val="18"/>
                <w:szCs w:val="18"/>
                <w:lang w:val="en-GB" w:eastAsia="en-GB"/>
              </w:rPr>
            </w:pPr>
            <w:r w:rsidRPr="00D440C9">
              <w:rPr>
                <w:rFonts w:ascii="Arial" w:hAnsi="Arial" w:cs="Arial"/>
                <w:sz w:val="18"/>
                <w:szCs w:val="18"/>
                <w:lang w:val="en-GB" w:eastAsia="en-GB"/>
              </w:rPr>
              <w:t> </w:t>
            </w:r>
          </w:p>
        </w:tc>
        <w:tc>
          <w:tcPr>
            <w:tcW w:w="851" w:type="dxa"/>
            <w:tcBorders>
              <w:top w:val="nil"/>
              <w:left w:val="nil"/>
              <w:bottom w:val="single" w:sz="4" w:space="0" w:color="auto"/>
              <w:right w:val="nil"/>
            </w:tcBorders>
            <w:shd w:val="clear" w:color="auto" w:fill="auto"/>
            <w:noWrap/>
            <w:vAlign w:val="bottom"/>
            <w:hideMark/>
          </w:tcPr>
          <w:p w:rsidR="00806809" w:rsidRPr="00D440C9" w:rsidRDefault="00806809" w:rsidP="005A4A60">
            <w:pPr>
              <w:rPr>
                <w:rFonts w:ascii="Arial" w:hAnsi="Arial" w:cs="Arial"/>
                <w:sz w:val="18"/>
                <w:szCs w:val="18"/>
                <w:lang w:val="en-GB" w:eastAsia="en-GB"/>
              </w:rPr>
            </w:pPr>
            <w:r w:rsidRPr="00D440C9">
              <w:rPr>
                <w:rFonts w:ascii="Arial" w:hAnsi="Arial" w:cs="Arial"/>
                <w:sz w:val="18"/>
                <w:szCs w:val="18"/>
                <w:lang w:val="en-GB" w:eastAsia="en-GB"/>
              </w:rPr>
              <w:t> </w:t>
            </w:r>
          </w:p>
        </w:tc>
        <w:tc>
          <w:tcPr>
            <w:tcW w:w="1559" w:type="dxa"/>
            <w:tcBorders>
              <w:top w:val="nil"/>
              <w:left w:val="nil"/>
              <w:bottom w:val="single" w:sz="4" w:space="0" w:color="auto"/>
              <w:right w:val="nil"/>
            </w:tcBorders>
            <w:shd w:val="clear" w:color="auto" w:fill="auto"/>
            <w:noWrap/>
            <w:vAlign w:val="bottom"/>
            <w:hideMark/>
          </w:tcPr>
          <w:p w:rsidR="00806809" w:rsidRPr="00D440C9" w:rsidRDefault="00806809" w:rsidP="005A4A60">
            <w:pPr>
              <w:jc w:val="right"/>
              <w:rPr>
                <w:rFonts w:ascii="Arial" w:hAnsi="Arial" w:cs="Arial"/>
                <w:b/>
                <w:bCs/>
                <w:sz w:val="18"/>
                <w:szCs w:val="18"/>
                <w:lang w:val="en-GB" w:eastAsia="en-GB"/>
              </w:rPr>
            </w:pPr>
            <w:r w:rsidRPr="00D440C9">
              <w:rPr>
                <w:rFonts w:ascii="Arial" w:hAnsi="Arial" w:cs="Arial"/>
                <w:b/>
                <w:bCs/>
                <w:sz w:val="18"/>
                <w:szCs w:val="18"/>
                <w:lang w:val="en-GB" w:eastAsia="en-GB"/>
              </w:rPr>
              <w:t xml:space="preserve"> pence </w:t>
            </w:r>
          </w:p>
        </w:tc>
        <w:tc>
          <w:tcPr>
            <w:tcW w:w="1418" w:type="dxa"/>
            <w:tcBorders>
              <w:top w:val="nil"/>
              <w:left w:val="nil"/>
              <w:bottom w:val="single" w:sz="4" w:space="0" w:color="auto"/>
              <w:right w:val="nil"/>
            </w:tcBorders>
            <w:shd w:val="clear" w:color="auto" w:fill="auto"/>
            <w:noWrap/>
            <w:vAlign w:val="bottom"/>
            <w:hideMark/>
          </w:tcPr>
          <w:p w:rsidR="00806809" w:rsidRPr="00806809" w:rsidRDefault="00806809" w:rsidP="00806809">
            <w:pPr>
              <w:jc w:val="right"/>
              <w:rPr>
                <w:rFonts w:ascii="Arial" w:hAnsi="Arial" w:cs="Arial"/>
                <w:bCs/>
                <w:sz w:val="18"/>
                <w:szCs w:val="18"/>
                <w:lang w:val="en-GB" w:eastAsia="en-GB"/>
              </w:rPr>
            </w:pPr>
            <w:r w:rsidRPr="00806809">
              <w:rPr>
                <w:rFonts w:ascii="Arial" w:hAnsi="Arial" w:cs="Arial"/>
                <w:bCs/>
                <w:sz w:val="18"/>
                <w:szCs w:val="18"/>
                <w:lang w:val="en-GB" w:eastAsia="en-GB"/>
              </w:rPr>
              <w:t xml:space="preserve"> pence </w:t>
            </w:r>
          </w:p>
        </w:tc>
      </w:tr>
      <w:tr w:rsidR="00806809" w:rsidRPr="00D440C9" w:rsidTr="009E3AE5">
        <w:trPr>
          <w:trHeight w:val="161"/>
        </w:trPr>
        <w:tc>
          <w:tcPr>
            <w:tcW w:w="5812" w:type="dxa"/>
            <w:tcBorders>
              <w:top w:val="nil"/>
              <w:left w:val="nil"/>
              <w:bottom w:val="nil"/>
              <w:right w:val="nil"/>
            </w:tcBorders>
            <w:shd w:val="clear" w:color="auto" w:fill="auto"/>
            <w:noWrap/>
            <w:vAlign w:val="bottom"/>
            <w:hideMark/>
          </w:tcPr>
          <w:p w:rsidR="00806809" w:rsidRPr="00D440C9" w:rsidRDefault="00806809" w:rsidP="005A4A60">
            <w:pPr>
              <w:rPr>
                <w:rFonts w:ascii="Arial" w:hAnsi="Arial" w:cs="Arial"/>
                <w:sz w:val="18"/>
                <w:szCs w:val="18"/>
                <w:lang w:val="en-GB" w:eastAsia="en-GB"/>
              </w:rPr>
            </w:pPr>
            <w:r w:rsidRPr="00D440C9">
              <w:rPr>
                <w:rFonts w:ascii="Arial" w:hAnsi="Arial" w:cs="Arial"/>
                <w:sz w:val="18"/>
                <w:szCs w:val="18"/>
                <w:lang w:val="en-GB" w:eastAsia="en-GB"/>
              </w:rPr>
              <w:t>Basic earnings per share</w:t>
            </w:r>
          </w:p>
        </w:tc>
        <w:tc>
          <w:tcPr>
            <w:tcW w:w="851" w:type="dxa"/>
            <w:tcBorders>
              <w:top w:val="nil"/>
              <w:left w:val="nil"/>
              <w:bottom w:val="nil"/>
              <w:right w:val="nil"/>
            </w:tcBorders>
            <w:shd w:val="clear" w:color="auto" w:fill="auto"/>
            <w:noWrap/>
            <w:vAlign w:val="bottom"/>
            <w:hideMark/>
          </w:tcPr>
          <w:p w:rsidR="00806809" w:rsidRPr="00D440C9" w:rsidRDefault="00806809" w:rsidP="005A4A60">
            <w:pPr>
              <w:rPr>
                <w:rFonts w:ascii="Arial" w:hAnsi="Arial" w:cs="Arial"/>
                <w:sz w:val="18"/>
                <w:szCs w:val="18"/>
                <w:lang w:val="en-GB" w:eastAsia="en-GB"/>
              </w:rPr>
            </w:pPr>
          </w:p>
        </w:tc>
        <w:tc>
          <w:tcPr>
            <w:tcW w:w="1559" w:type="dxa"/>
            <w:tcBorders>
              <w:top w:val="nil"/>
              <w:left w:val="nil"/>
              <w:bottom w:val="nil"/>
              <w:right w:val="nil"/>
            </w:tcBorders>
            <w:shd w:val="clear" w:color="auto" w:fill="auto"/>
            <w:noWrap/>
            <w:vAlign w:val="bottom"/>
            <w:hideMark/>
          </w:tcPr>
          <w:p w:rsidR="00806809" w:rsidRDefault="00806809" w:rsidP="00806809">
            <w:pPr>
              <w:jc w:val="right"/>
              <w:rPr>
                <w:rFonts w:ascii="Arial" w:hAnsi="Arial" w:cs="Arial"/>
                <w:b/>
                <w:bCs/>
                <w:sz w:val="18"/>
                <w:szCs w:val="18"/>
              </w:rPr>
            </w:pPr>
            <w:r>
              <w:rPr>
                <w:rFonts w:ascii="Arial" w:hAnsi="Arial" w:cs="Arial"/>
                <w:b/>
                <w:bCs/>
                <w:sz w:val="18"/>
                <w:szCs w:val="18"/>
              </w:rPr>
              <w:t xml:space="preserve">32.78 </w:t>
            </w:r>
          </w:p>
        </w:tc>
        <w:tc>
          <w:tcPr>
            <w:tcW w:w="1418" w:type="dxa"/>
            <w:tcBorders>
              <w:top w:val="nil"/>
              <w:left w:val="nil"/>
              <w:bottom w:val="nil"/>
              <w:right w:val="nil"/>
            </w:tcBorders>
            <w:shd w:val="clear" w:color="auto" w:fill="auto"/>
            <w:noWrap/>
            <w:vAlign w:val="bottom"/>
            <w:hideMark/>
          </w:tcPr>
          <w:p w:rsidR="00806809" w:rsidRPr="00806809" w:rsidRDefault="00806809" w:rsidP="00806809">
            <w:pPr>
              <w:jc w:val="right"/>
              <w:rPr>
                <w:rFonts w:ascii="Arial" w:hAnsi="Arial" w:cs="Arial"/>
                <w:bCs/>
                <w:sz w:val="18"/>
                <w:szCs w:val="18"/>
              </w:rPr>
            </w:pPr>
            <w:r w:rsidRPr="00806809">
              <w:rPr>
                <w:rFonts w:ascii="Arial" w:hAnsi="Arial" w:cs="Arial"/>
                <w:bCs/>
                <w:sz w:val="18"/>
                <w:szCs w:val="18"/>
              </w:rPr>
              <w:t xml:space="preserve">33.84 </w:t>
            </w:r>
          </w:p>
        </w:tc>
      </w:tr>
      <w:tr w:rsidR="00806809" w:rsidRPr="00D440C9" w:rsidTr="009E3AE5">
        <w:trPr>
          <w:trHeight w:val="87"/>
        </w:trPr>
        <w:tc>
          <w:tcPr>
            <w:tcW w:w="5812" w:type="dxa"/>
            <w:tcBorders>
              <w:top w:val="nil"/>
              <w:left w:val="nil"/>
              <w:bottom w:val="nil"/>
              <w:right w:val="nil"/>
            </w:tcBorders>
            <w:shd w:val="clear" w:color="auto" w:fill="auto"/>
            <w:noWrap/>
            <w:vAlign w:val="bottom"/>
            <w:hideMark/>
          </w:tcPr>
          <w:p w:rsidR="00806809" w:rsidRPr="00D440C9" w:rsidRDefault="00806809" w:rsidP="005A4A60">
            <w:pPr>
              <w:rPr>
                <w:rFonts w:ascii="Arial" w:hAnsi="Arial" w:cs="Arial"/>
                <w:sz w:val="18"/>
                <w:szCs w:val="18"/>
                <w:lang w:val="en-GB" w:eastAsia="en-GB"/>
              </w:rPr>
            </w:pPr>
            <w:r w:rsidRPr="00D440C9">
              <w:rPr>
                <w:rFonts w:ascii="Arial" w:hAnsi="Arial" w:cs="Arial"/>
                <w:sz w:val="18"/>
                <w:szCs w:val="18"/>
                <w:lang w:val="en-GB" w:eastAsia="en-GB"/>
              </w:rPr>
              <w:t>Effect of dilutive share options</w:t>
            </w:r>
          </w:p>
        </w:tc>
        <w:tc>
          <w:tcPr>
            <w:tcW w:w="851" w:type="dxa"/>
            <w:tcBorders>
              <w:top w:val="nil"/>
              <w:left w:val="nil"/>
              <w:bottom w:val="nil"/>
              <w:right w:val="nil"/>
            </w:tcBorders>
            <w:shd w:val="clear" w:color="auto" w:fill="auto"/>
            <w:noWrap/>
            <w:vAlign w:val="bottom"/>
            <w:hideMark/>
          </w:tcPr>
          <w:p w:rsidR="00806809" w:rsidRPr="00D440C9" w:rsidRDefault="00806809" w:rsidP="005A4A60">
            <w:pPr>
              <w:rPr>
                <w:rFonts w:ascii="Arial" w:hAnsi="Arial" w:cs="Arial"/>
                <w:sz w:val="18"/>
                <w:szCs w:val="18"/>
                <w:lang w:val="en-GB" w:eastAsia="en-GB"/>
              </w:rPr>
            </w:pPr>
          </w:p>
        </w:tc>
        <w:tc>
          <w:tcPr>
            <w:tcW w:w="1559" w:type="dxa"/>
            <w:tcBorders>
              <w:top w:val="nil"/>
              <w:left w:val="nil"/>
              <w:bottom w:val="nil"/>
              <w:right w:val="nil"/>
            </w:tcBorders>
            <w:shd w:val="clear" w:color="auto" w:fill="auto"/>
            <w:noWrap/>
            <w:vAlign w:val="bottom"/>
            <w:hideMark/>
          </w:tcPr>
          <w:p w:rsidR="00806809" w:rsidRDefault="00806809" w:rsidP="001237DC">
            <w:pPr>
              <w:jc w:val="right"/>
              <w:rPr>
                <w:rFonts w:ascii="Arial" w:hAnsi="Arial" w:cs="Arial"/>
                <w:b/>
                <w:bCs/>
                <w:sz w:val="18"/>
                <w:szCs w:val="18"/>
              </w:rPr>
            </w:pPr>
            <w:r>
              <w:rPr>
                <w:rFonts w:ascii="Arial" w:hAnsi="Arial" w:cs="Arial"/>
                <w:b/>
                <w:bCs/>
                <w:sz w:val="18"/>
                <w:szCs w:val="18"/>
              </w:rPr>
              <w:t>(1.06)</w:t>
            </w:r>
          </w:p>
        </w:tc>
        <w:tc>
          <w:tcPr>
            <w:tcW w:w="1418" w:type="dxa"/>
            <w:tcBorders>
              <w:top w:val="nil"/>
              <w:left w:val="nil"/>
              <w:bottom w:val="nil"/>
              <w:right w:val="nil"/>
            </w:tcBorders>
            <w:shd w:val="clear" w:color="auto" w:fill="auto"/>
            <w:noWrap/>
            <w:vAlign w:val="bottom"/>
            <w:hideMark/>
          </w:tcPr>
          <w:p w:rsidR="00806809" w:rsidRPr="00806809" w:rsidRDefault="00806809" w:rsidP="00806809">
            <w:pPr>
              <w:jc w:val="right"/>
              <w:rPr>
                <w:rFonts w:ascii="Arial" w:hAnsi="Arial" w:cs="Arial"/>
                <w:bCs/>
                <w:sz w:val="18"/>
                <w:szCs w:val="18"/>
              </w:rPr>
            </w:pPr>
            <w:r w:rsidRPr="00806809">
              <w:rPr>
                <w:rFonts w:ascii="Arial" w:hAnsi="Arial" w:cs="Arial"/>
                <w:bCs/>
                <w:sz w:val="18"/>
                <w:szCs w:val="18"/>
              </w:rPr>
              <w:t>(1.31)</w:t>
            </w:r>
          </w:p>
        </w:tc>
      </w:tr>
      <w:tr w:rsidR="00806809" w:rsidRPr="00D440C9" w:rsidTr="009E3AE5">
        <w:trPr>
          <w:trHeight w:val="77"/>
        </w:trPr>
        <w:tc>
          <w:tcPr>
            <w:tcW w:w="5812" w:type="dxa"/>
            <w:tcBorders>
              <w:top w:val="single" w:sz="4" w:space="0" w:color="auto"/>
              <w:left w:val="nil"/>
              <w:bottom w:val="single" w:sz="8" w:space="0" w:color="auto"/>
              <w:right w:val="nil"/>
            </w:tcBorders>
            <w:shd w:val="clear" w:color="auto" w:fill="auto"/>
            <w:noWrap/>
            <w:vAlign w:val="bottom"/>
            <w:hideMark/>
          </w:tcPr>
          <w:p w:rsidR="00806809" w:rsidRPr="00D440C9" w:rsidRDefault="00806809" w:rsidP="005A4A60">
            <w:pPr>
              <w:rPr>
                <w:rFonts w:ascii="Arial" w:hAnsi="Arial" w:cs="Arial"/>
                <w:sz w:val="18"/>
                <w:szCs w:val="18"/>
                <w:lang w:val="en-GB" w:eastAsia="en-GB"/>
              </w:rPr>
            </w:pPr>
            <w:r w:rsidRPr="00D440C9">
              <w:rPr>
                <w:rFonts w:ascii="Arial" w:hAnsi="Arial" w:cs="Arial"/>
                <w:sz w:val="18"/>
                <w:szCs w:val="18"/>
                <w:lang w:val="en-GB" w:eastAsia="en-GB"/>
              </w:rPr>
              <w:t>Diluted earnings per share</w:t>
            </w:r>
          </w:p>
        </w:tc>
        <w:tc>
          <w:tcPr>
            <w:tcW w:w="851" w:type="dxa"/>
            <w:tcBorders>
              <w:top w:val="single" w:sz="4" w:space="0" w:color="auto"/>
              <w:left w:val="nil"/>
              <w:bottom w:val="single" w:sz="8" w:space="0" w:color="auto"/>
              <w:right w:val="nil"/>
            </w:tcBorders>
            <w:shd w:val="clear" w:color="auto" w:fill="auto"/>
            <w:noWrap/>
            <w:vAlign w:val="bottom"/>
            <w:hideMark/>
          </w:tcPr>
          <w:p w:rsidR="00806809" w:rsidRPr="00D440C9" w:rsidRDefault="00806809" w:rsidP="005A4A60">
            <w:pPr>
              <w:rPr>
                <w:rFonts w:ascii="Arial" w:hAnsi="Arial" w:cs="Arial"/>
                <w:sz w:val="18"/>
                <w:szCs w:val="18"/>
                <w:lang w:val="en-GB" w:eastAsia="en-GB"/>
              </w:rPr>
            </w:pPr>
            <w:r w:rsidRPr="00D440C9">
              <w:rPr>
                <w:rFonts w:ascii="Arial" w:hAnsi="Arial" w:cs="Arial"/>
                <w:sz w:val="18"/>
                <w:szCs w:val="18"/>
                <w:lang w:val="en-GB" w:eastAsia="en-GB"/>
              </w:rPr>
              <w:t> </w:t>
            </w:r>
          </w:p>
        </w:tc>
        <w:tc>
          <w:tcPr>
            <w:tcW w:w="1559" w:type="dxa"/>
            <w:tcBorders>
              <w:top w:val="single" w:sz="4" w:space="0" w:color="auto"/>
              <w:left w:val="nil"/>
              <w:bottom w:val="single" w:sz="8" w:space="0" w:color="auto"/>
              <w:right w:val="nil"/>
            </w:tcBorders>
            <w:shd w:val="clear" w:color="auto" w:fill="auto"/>
            <w:noWrap/>
            <w:vAlign w:val="bottom"/>
            <w:hideMark/>
          </w:tcPr>
          <w:p w:rsidR="00806809" w:rsidRDefault="00806809" w:rsidP="001237DC">
            <w:pPr>
              <w:jc w:val="right"/>
              <w:rPr>
                <w:rFonts w:ascii="Arial" w:hAnsi="Arial" w:cs="Arial"/>
                <w:b/>
                <w:bCs/>
                <w:sz w:val="18"/>
                <w:szCs w:val="18"/>
              </w:rPr>
            </w:pPr>
            <w:r>
              <w:rPr>
                <w:rFonts w:ascii="Arial" w:hAnsi="Arial" w:cs="Arial"/>
                <w:b/>
                <w:bCs/>
                <w:sz w:val="18"/>
                <w:szCs w:val="18"/>
              </w:rPr>
              <w:t xml:space="preserve">31.72 </w:t>
            </w:r>
          </w:p>
        </w:tc>
        <w:tc>
          <w:tcPr>
            <w:tcW w:w="1418" w:type="dxa"/>
            <w:tcBorders>
              <w:top w:val="single" w:sz="4" w:space="0" w:color="auto"/>
              <w:left w:val="nil"/>
              <w:bottom w:val="single" w:sz="8" w:space="0" w:color="auto"/>
              <w:right w:val="nil"/>
            </w:tcBorders>
            <w:shd w:val="clear" w:color="auto" w:fill="auto"/>
            <w:noWrap/>
            <w:vAlign w:val="bottom"/>
            <w:hideMark/>
          </w:tcPr>
          <w:p w:rsidR="00806809" w:rsidRPr="00806809" w:rsidRDefault="00806809" w:rsidP="00806809">
            <w:pPr>
              <w:jc w:val="right"/>
              <w:rPr>
                <w:rFonts w:ascii="Arial" w:hAnsi="Arial" w:cs="Arial"/>
                <w:bCs/>
                <w:sz w:val="18"/>
                <w:szCs w:val="18"/>
              </w:rPr>
            </w:pPr>
            <w:r w:rsidRPr="00806809">
              <w:rPr>
                <w:rFonts w:ascii="Arial" w:hAnsi="Arial" w:cs="Arial"/>
                <w:bCs/>
                <w:sz w:val="18"/>
                <w:szCs w:val="18"/>
              </w:rPr>
              <w:t xml:space="preserve">32.53 </w:t>
            </w:r>
          </w:p>
        </w:tc>
      </w:tr>
      <w:tr w:rsidR="005705A5" w:rsidRPr="00D440C9" w:rsidTr="00E170A2">
        <w:trPr>
          <w:trHeight w:val="149"/>
        </w:trPr>
        <w:tc>
          <w:tcPr>
            <w:tcW w:w="5812" w:type="dxa"/>
            <w:tcBorders>
              <w:top w:val="nil"/>
              <w:left w:val="nil"/>
              <w:bottom w:val="nil"/>
              <w:right w:val="nil"/>
            </w:tcBorders>
            <w:shd w:val="clear" w:color="auto" w:fill="auto"/>
            <w:noWrap/>
            <w:vAlign w:val="bottom"/>
            <w:hideMark/>
          </w:tcPr>
          <w:p w:rsidR="005705A5" w:rsidRPr="00D440C9" w:rsidRDefault="005705A5" w:rsidP="005A4A60">
            <w:pPr>
              <w:rPr>
                <w:rFonts w:ascii="Arial" w:hAnsi="Arial" w:cs="Arial"/>
                <w:sz w:val="18"/>
                <w:szCs w:val="18"/>
                <w:lang w:val="en-GB" w:eastAsia="en-GB"/>
              </w:rPr>
            </w:pPr>
          </w:p>
        </w:tc>
        <w:tc>
          <w:tcPr>
            <w:tcW w:w="851" w:type="dxa"/>
            <w:tcBorders>
              <w:top w:val="nil"/>
              <w:left w:val="nil"/>
              <w:bottom w:val="nil"/>
              <w:right w:val="nil"/>
            </w:tcBorders>
            <w:shd w:val="clear" w:color="auto" w:fill="auto"/>
            <w:noWrap/>
            <w:vAlign w:val="bottom"/>
            <w:hideMark/>
          </w:tcPr>
          <w:p w:rsidR="005705A5" w:rsidRPr="00D440C9" w:rsidRDefault="005705A5" w:rsidP="005A4A60">
            <w:pPr>
              <w:rPr>
                <w:rFonts w:ascii="Arial" w:hAnsi="Arial" w:cs="Arial"/>
                <w:sz w:val="18"/>
                <w:szCs w:val="18"/>
                <w:lang w:val="en-GB" w:eastAsia="en-GB"/>
              </w:rPr>
            </w:pPr>
          </w:p>
        </w:tc>
        <w:tc>
          <w:tcPr>
            <w:tcW w:w="1559" w:type="dxa"/>
            <w:tcBorders>
              <w:top w:val="nil"/>
              <w:left w:val="nil"/>
              <w:bottom w:val="nil"/>
              <w:right w:val="nil"/>
            </w:tcBorders>
            <w:shd w:val="clear" w:color="auto" w:fill="auto"/>
            <w:noWrap/>
            <w:vAlign w:val="bottom"/>
            <w:hideMark/>
          </w:tcPr>
          <w:p w:rsidR="005705A5" w:rsidRPr="00D440C9" w:rsidRDefault="005705A5" w:rsidP="005A4A60">
            <w:pPr>
              <w:jc w:val="right"/>
              <w:rPr>
                <w:rFonts w:ascii="Arial" w:hAnsi="Arial" w:cs="Arial"/>
                <w:b/>
                <w:bCs/>
                <w:sz w:val="18"/>
                <w:szCs w:val="18"/>
                <w:lang w:val="en-GB" w:eastAsia="en-GB"/>
              </w:rPr>
            </w:pPr>
          </w:p>
        </w:tc>
        <w:tc>
          <w:tcPr>
            <w:tcW w:w="1418" w:type="dxa"/>
            <w:tcBorders>
              <w:top w:val="nil"/>
              <w:left w:val="nil"/>
              <w:bottom w:val="nil"/>
              <w:right w:val="nil"/>
            </w:tcBorders>
            <w:shd w:val="clear" w:color="auto" w:fill="auto"/>
            <w:noWrap/>
            <w:vAlign w:val="bottom"/>
            <w:hideMark/>
          </w:tcPr>
          <w:p w:rsidR="005705A5" w:rsidRPr="005705A5" w:rsidRDefault="005705A5" w:rsidP="005705A5">
            <w:pPr>
              <w:jc w:val="right"/>
              <w:rPr>
                <w:rFonts w:ascii="Arial" w:hAnsi="Arial" w:cs="Arial"/>
                <w:bCs/>
                <w:sz w:val="18"/>
                <w:szCs w:val="18"/>
                <w:lang w:val="en-GB" w:eastAsia="en-GB"/>
              </w:rPr>
            </w:pPr>
          </w:p>
        </w:tc>
      </w:tr>
      <w:tr w:rsidR="005705A5" w:rsidRPr="00D440C9" w:rsidTr="009E3AE5">
        <w:trPr>
          <w:trHeight w:val="87"/>
        </w:trPr>
        <w:tc>
          <w:tcPr>
            <w:tcW w:w="5812" w:type="dxa"/>
            <w:tcBorders>
              <w:top w:val="nil"/>
              <w:left w:val="nil"/>
              <w:bottom w:val="single" w:sz="4" w:space="0" w:color="auto"/>
              <w:right w:val="nil"/>
            </w:tcBorders>
            <w:shd w:val="clear" w:color="auto" w:fill="auto"/>
            <w:noWrap/>
            <w:vAlign w:val="bottom"/>
            <w:hideMark/>
          </w:tcPr>
          <w:p w:rsidR="005705A5" w:rsidRPr="00D440C9" w:rsidRDefault="005705A5" w:rsidP="005A4A60">
            <w:pPr>
              <w:rPr>
                <w:rFonts w:ascii="Arial" w:hAnsi="Arial" w:cs="Arial"/>
                <w:sz w:val="18"/>
                <w:szCs w:val="18"/>
                <w:lang w:val="en-GB" w:eastAsia="en-GB"/>
              </w:rPr>
            </w:pPr>
            <w:r w:rsidRPr="00D440C9">
              <w:rPr>
                <w:rFonts w:ascii="Arial" w:hAnsi="Arial" w:cs="Arial"/>
                <w:sz w:val="18"/>
                <w:szCs w:val="18"/>
                <w:lang w:val="en-GB" w:eastAsia="en-GB"/>
              </w:rPr>
              <w:t> </w:t>
            </w:r>
          </w:p>
        </w:tc>
        <w:tc>
          <w:tcPr>
            <w:tcW w:w="851" w:type="dxa"/>
            <w:tcBorders>
              <w:top w:val="nil"/>
              <w:left w:val="nil"/>
              <w:bottom w:val="single" w:sz="4" w:space="0" w:color="auto"/>
              <w:right w:val="nil"/>
            </w:tcBorders>
            <w:shd w:val="clear" w:color="auto" w:fill="auto"/>
            <w:noWrap/>
            <w:vAlign w:val="bottom"/>
            <w:hideMark/>
          </w:tcPr>
          <w:p w:rsidR="005705A5" w:rsidRPr="00D440C9" w:rsidRDefault="005705A5" w:rsidP="005A4A60">
            <w:pPr>
              <w:jc w:val="right"/>
              <w:rPr>
                <w:rFonts w:ascii="Arial" w:hAnsi="Arial" w:cs="Arial"/>
                <w:sz w:val="18"/>
                <w:szCs w:val="18"/>
                <w:lang w:val="en-GB" w:eastAsia="en-GB"/>
              </w:rPr>
            </w:pPr>
            <w:r w:rsidRPr="00D440C9">
              <w:rPr>
                <w:rFonts w:ascii="Arial" w:hAnsi="Arial" w:cs="Arial"/>
                <w:sz w:val="18"/>
                <w:szCs w:val="18"/>
                <w:lang w:val="en-GB" w:eastAsia="en-GB"/>
              </w:rPr>
              <w:t> </w:t>
            </w:r>
          </w:p>
        </w:tc>
        <w:tc>
          <w:tcPr>
            <w:tcW w:w="1559" w:type="dxa"/>
            <w:tcBorders>
              <w:top w:val="nil"/>
              <w:left w:val="nil"/>
              <w:bottom w:val="single" w:sz="4" w:space="0" w:color="auto"/>
              <w:right w:val="nil"/>
            </w:tcBorders>
            <w:shd w:val="clear" w:color="auto" w:fill="auto"/>
            <w:noWrap/>
            <w:vAlign w:val="bottom"/>
            <w:hideMark/>
          </w:tcPr>
          <w:p w:rsidR="005705A5" w:rsidRPr="00D440C9" w:rsidRDefault="005705A5" w:rsidP="005A4A60">
            <w:pPr>
              <w:jc w:val="right"/>
              <w:rPr>
                <w:rFonts w:ascii="Arial" w:hAnsi="Arial" w:cs="Arial"/>
                <w:b/>
                <w:bCs/>
                <w:sz w:val="18"/>
                <w:szCs w:val="18"/>
                <w:lang w:val="en-GB" w:eastAsia="en-GB"/>
              </w:rPr>
            </w:pPr>
            <w:r w:rsidRPr="00D440C9">
              <w:rPr>
                <w:rFonts w:ascii="Arial" w:hAnsi="Arial" w:cs="Arial"/>
                <w:b/>
                <w:bCs/>
                <w:sz w:val="18"/>
                <w:szCs w:val="18"/>
                <w:lang w:val="en-GB" w:eastAsia="en-GB"/>
              </w:rPr>
              <w:t xml:space="preserve"> Shares </w:t>
            </w:r>
          </w:p>
        </w:tc>
        <w:tc>
          <w:tcPr>
            <w:tcW w:w="1418" w:type="dxa"/>
            <w:tcBorders>
              <w:top w:val="nil"/>
              <w:left w:val="nil"/>
              <w:bottom w:val="single" w:sz="4" w:space="0" w:color="auto"/>
              <w:right w:val="nil"/>
            </w:tcBorders>
            <w:shd w:val="clear" w:color="auto" w:fill="auto"/>
            <w:noWrap/>
            <w:vAlign w:val="bottom"/>
            <w:hideMark/>
          </w:tcPr>
          <w:p w:rsidR="005705A5" w:rsidRPr="005705A5" w:rsidRDefault="005705A5" w:rsidP="005705A5">
            <w:pPr>
              <w:jc w:val="right"/>
              <w:rPr>
                <w:rFonts w:ascii="Arial" w:hAnsi="Arial" w:cs="Arial"/>
                <w:bCs/>
                <w:sz w:val="18"/>
                <w:szCs w:val="18"/>
                <w:lang w:val="en-GB" w:eastAsia="en-GB"/>
              </w:rPr>
            </w:pPr>
            <w:r w:rsidRPr="005705A5">
              <w:rPr>
                <w:rFonts w:ascii="Arial" w:hAnsi="Arial" w:cs="Arial"/>
                <w:bCs/>
                <w:sz w:val="18"/>
                <w:szCs w:val="18"/>
                <w:lang w:val="en-GB" w:eastAsia="en-GB"/>
              </w:rPr>
              <w:t xml:space="preserve"> Shares </w:t>
            </w:r>
          </w:p>
        </w:tc>
      </w:tr>
      <w:tr w:rsidR="009C043D" w:rsidRPr="00D440C9" w:rsidTr="009E3AE5">
        <w:trPr>
          <w:trHeight w:val="77"/>
        </w:trPr>
        <w:tc>
          <w:tcPr>
            <w:tcW w:w="5812" w:type="dxa"/>
            <w:tcBorders>
              <w:top w:val="nil"/>
              <w:left w:val="nil"/>
              <w:bottom w:val="nil"/>
              <w:right w:val="nil"/>
            </w:tcBorders>
            <w:shd w:val="clear" w:color="auto" w:fill="auto"/>
            <w:noWrap/>
            <w:vAlign w:val="bottom"/>
            <w:hideMark/>
          </w:tcPr>
          <w:p w:rsidR="009C043D" w:rsidRPr="00D440C9" w:rsidRDefault="009C043D" w:rsidP="005A4A60">
            <w:pPr>
              <w:rPr>
                <w:rFonts w:ascii="Arial" w:hAnsi="Arial" w:cs="Arial"/>
                <w:sz w:val="18"/>
                <w:szCs w:val="18"/>
                <w:lang w:val="en-GB" w:eastAsia="en-GB"/>
              </w:rPr>
            </w:pPr>
            <w:r w:rsidRPr="00D440C9">
              <w:rPr>
                <w:rFonts w:ascii="Arial" w:hAnsi="Arial" w:cs="Arial"/>
                <w:sz w:val="18"/>
                <w:szCs w:val="18"/>
                <w:lang w:val="en-GB" w:eastAsia="en-GB"/>
              </w:rPr>
              <w:t>Weighted average number of ordinary shares</w:t>
            </w:r>
          </w:p>
        </w:tc>
        <w:tc>
          <w:tcPr>
            <w:tcW w:w="851" w:type="dxa"/>
            <w:tcBorders>
              <w:top w:val="nil"/>
              <w:left w:val="nil"/>
              <w:bottom w:val="nil"/>
              <w:right w:val="nil"/>
            </w:tcBorders>
            <w:shd w:val="clear" w:color="auto" w:fill="auto"/>
            <w:noWrap/>
            <w:vAlign w:val="bottom"/>
            <w:hideMark/>
          </w:tcPr>
          <w:p w:rsidR="009C043D" w:rsidRPr="00D440C9" w:rsidRDefault="009C043D" w:rsidP="005A4A60">
            <w:pPr>
              <w:rPr>
                <w:rFonts w:ascii="Arial" w:hAnsi="Arial" w:cs="Arial"/>
                <w:sz w:val="18"/>
                <w:szCs w:val="18"/>
                <w:lang w:val="en-GB" w:eastAsia="en-GB"/>
              </w:rPr>
            </w:pPr>
          </w:p>
        </w:tc>
        <w:tc>
          <w:tcPr>
            <w:tcW w:w="1559" w:type="dxa"/>
            <w:tcBorders>
              <w:top w:val="nil"/>
              <w:left w:val="nil"/>
              <w:bottom w:val="nil"/>
              <w:right w:val="nil"/>
            </w:tcBorders>
            <w:shd w:val="clear" w:color="auto" w:fill="auto"/>
            <w:noWrap/>
            <w:vAlign w:val="bottom"/>
            <w:hideMark/>
          </w:tcPr>
          <w:p w:rsidR="009C043D" w:rsidRDefault="009C043D" w:rsidP="009C043D">
            <w:pPr>
              <w:jc w:val="right"/>
              <w:rPr>
                <w:rFonts w:ascii="Arial" w:hAnsi="Arial" w:cs="Arial"/>
                <w:b/>
                <w:bCs/>
                <w:sz w:val="18"/>
                <w:szCs w:val="18"/>
              </w:rPr>
            </w:pPr>
            <w:r>
              <w:rPr>
                <w:rFonts w:ascii="Arial" w:hAnsi="Arial" w:cs="Arial"/>
                <w:b/>
                <w:bCs/>
                <w:sz w:val="18"/>
                <w:szCs w:val="18"/>
              </w:rPr>
              <w:t>20,815,282</w:t>
            </w:r>
          </w:p>
        </w:tc>
        <w:tc>
          <w:tcPr>
            <w:tcW w:w="1418" w:type="dxa"/>
            <w:tcBorders>
              <w:top w:val="nil"/>
              <w:left w:val="nil"/>
              <w:bottom w:val="nil"/>
              <w:right w:val="nil"/>
            </w:tcBorders>
            <w:shd w:val="clear" w:color="auto" w:fill="auto"/>
            <w:noWrap/>
            <w:vAlign w:val="bottom"/>
            <w:hideMark/>
          </w:tcPr>
          <w:p w:rsidR="009C043D" w:rsidRPr="009C043D" w:rsidRDefault="009C043D" w:rsidP="009C043D">
            <w:pPr>
              <w:jc w:val="right"/>
              <w:rPr>
                <w:rFonts w:ascii="Arial" w:hAnsi="Arial" w:cs="Arial"/>
                <w:bCs/>
                <w:sz w:val="18"/>
                <w:szCs w:val="18"/>
              </w:rPr>
            </w:pPr>
            <w:r w:rsidRPr="009C043D">
              <w:rPr>
                <w:rFonts w:ascii="Arial" w:hAnsi="Arial" w:cs="Arial"/>
                <w:bCs/>
                <w:sz w:val="18"/>
                <w:szCs w:val="18"/>
              </w:rPr>
              <w:t>20,214,713</w:t>
            </w:r>
          </w:p>
        </w:tc>
      </w:tr>
      <w:tr w:rsidR="009C043D" w:rsidRPr="00D440C9" w:rsidTr="009E3AE5">
        <w:trPr>
          <w:trHeight w:val="116"/>
        </w:trPr>
        <w:tc>
          <w:tcPr>
            <w:tcW w:w="5812" w:type="dxa"/>
            <w:tcBorders>
              <w:top w:val="nil"/>
              <w:left w:val="nil"/>
              <w:bottom w:val="nil"/>
              <w:right w:val="nil"/>
            </w:tcBorders>
            <w:shd w:val="clear" w:color="auto" w:fill="auto"/>
            <w:noWrap/>
            <w:vAlign w:val="bottom"/>
            <w:hideMark/>
          </w:tcPr>
          <w:p w:rsidR="009C043D" w:rsidRPr="00D440C9" w:rsidRDefault="009C043D" w:rsidP="005A4A60">
            <w:pPr>
              <w:rPr>
                <w:rFonts w:ascii="Arial" w:hAnsi="Arial" w:cs="Arial"/>
                <w:sz w:val="18"/>
                <w:szCs w:val="18"/>
                <w:lang w:val="en-GB" w:eastAsia="en-GB"/>
              </w:rPr>
            </w:pPr>
            <w:r w:rsidRPr="00D440C9">
              <w:rPr>
                <w:rFonts w:ascii="Arial" w:hAnsi="Arial" w:cs="Arial"/>
                <w:sz w:val="18"/>
                <w:szCs w:val="18"/>
                <w:lang w:val="en-GB" w:eastAsia="en-GB"/>
              </w:rPr>
              <w:t>Effect of dilutive share options</w:t>
            </w:r>
          </w:p>
        </w:tc>
        <w:tc>
          <w:tcPr>
            <w:tcW w:w="851" w:type="dxa"/>
            <w:tcBorders>
              <w:top w:val="nil"/>
              <w:left w:val="nil"/>
              <w:bottom w:val="nil"/>
              <w:right w:val="nil"/>
            </w:tcBorders>
            <w:shd w:val="clear" w:color="auto" w:fill="auto"/>
            <w:noWrap/>
            <w:vAlign w:val="bottom"/>
            <w:hideMark/>
          </w:tcPr>
          <w:p w:rsidR="009C043D" w:rsidRPr="00D440C9" w:rsidRDefault="009C043D" w:rsidP="005A4A60">
            <w:pPr>
              <w:rPr>
                <w:rFonts w:ascii="Arial" w:hAnsi="Arial" w:cs="Arial"/>
                <w:sz w:val="18"/>
                <w:szCs w:val="18"/>
                <w:lang w:val="en-GB" w:eastAsia="en-GB"/>
              </w:rPr>
            </w:pPr>
          </w:p>
        </w:tc>
        <w:tc>
          <w:tcPr>
            <w:tcW w:w="1559" w:type="dxa"/>
            <w:tcBorders>
              <w:top w:val="nil"/>
              <w:left w:val="nil"/>
              <w:bottom w:val="nil"/>
              <w:right w:val="nil"/>
            </w:tcBorders>
            <w:shd w:val="clear" w:color="auto" w:fill="auto"/>
            <w:noWrap/>
            <w:vAlign w:val="bottom"/>
            <w:hideMark/>
          </w:tcPr>
          <w:p w:rsidR="009C043D" w:rsidRDefault="009C043D" w:rsidP="001237DC">
            <w:pPr>
              <w:jc w:val="right"/>
              <w:rPr>
                <w:rFonts w:ascii="Arial" w:hAnsi="Arial" w:cs="Arial"/>
                <w:b/>
                <w:bCs/>
                <w:sz w:val="18"/>
                <w:szCs w:val="18"/>
              </w:rPr>
            </w:pPr>
            <w:r>
              <w:rPr>
                <w:rFonts w:ascii="Arial" w:hAnsi="Arial" w:cs="Arial"/>
                <w:b/>
                <w:bCs/>
                <w:sz w:val="18"/>
                <w:szCs w:val="18"/>
              </w:rPr>
              <w:t>695,456</w:t>
            </w:r>
          </w:p>
        </w:tc>
        <w:tc>
          <w:tcPr>
            <w:tcW w:w="1418" w:type="dxa"/>
            <w:tcBorders>
              <w:top w:val="nil"/>
              <w:left w:val="nil"/>
              <w:bottom w:val="nil"/>
              <w:right w:val="nil"/>
            </w:tcBorders>
            <w:shd w:val="clear" w:color="auto" w:fill="auto"/>
            <w:noWrap/>
            <w:vAlign w:val="bottom"/>
            <w:hideMark/>
          </w:tcPr>
          <w:p w:rsidR="009C043D" w:rsidRPr="009C043D" w:rsidRDefault="009C043D" w:rsidP="009C043D">
            <w:pPr>
              <w:jc w:val="right"/>
              <w:rPr>
                <w:rFonts w:ascii="Arial" w:hAnsi="Arial" w:cs="Arial"/>
                <w:bCs/>
                <w:sz w:val="18"/>
                <w:szCs w:val="18"/>
              </w:rPr>
            </w:pPr>
            <w:r w:rsidRPr="009C043D">
              <w:rPr>
                <w:rFonts w:ascii="Arial" w:hAnsi="Arial" w:cs="Arial"/>
                <w:bCs/>
                <w:sz w:val="18"/>
                <w:szCs w:val="18"/>
              </w:rPr>
              <w:t>817,611</w:t>
            </w:r>
          </w:p>
        </w:tc>
      </w:tr>
      <w:tr w:rsidR="009C043D" w:rsidRPr="00D440C9" w:rsidTr="009E3AE5">
        <w:trPr>
          <w:trHeight w:val="77"/>
        </w:trPr>
        <w:tc>
          <w:tcPr>
            <w:tcW w:w="5812" w:type="dxa"/>
            <w:tcBorders>
              <w:top w:val="single" w:sz="4" w:space="0" w:color="auto"/>
              <w:left w:val="nil"/>
              <w:bottom w:val="single" w:sz="8" w:space="0" w:color="auto"/>
              <w:right w:val="nil"/>
            </w:tcBorders>
            <w:shd w:val="clear" w:color="auto" w:fill="auto"/>
            <w:noWrap/>
            <w:vAlign w:val="bottom"/>
            <w:hideMark/>
          </w:tcPr>
          <w:p w:rsidR="009C043D" w:rsidRPr="00D440C9" w:rsidRDefault="009C043D" w:rsidP="005A4A60">
            <w:pPr>
              <w:rPr>
                <w:rFonts w:ascii="Arial" w:hAnsi="Arial" w:cs="Arial"/>
                <w:sz w:val="18"/>
                <w:szCs w:val="18"/>
                <w:lang w:val="en-GB" w:eastAsia="en-GB"/>
              </w:rPr>
            </w:pPr>
            <w:r w:rsidRPr="00D440C9">
              <w:rPr>
                <w:rFonts w:ascii="Arial" w:hAnsi="Arial" w:cs="Arial"/>
                <w:sz w:val="18"/>
                <w:szCs w:val="18"/>
                <w:lang w:val="en-GB" w:eastAsia="en-GB"/>
              </w:rPr>
              <w:t>Diluted weighted average number of ordinary shares</w:t>
            </w:r>
          </w:p>
        </w:tc>
        <w:tc>
          <w:tcPr>
            <w:tcW w:w="851" w:type="dxa"/>
            <w:tcBorders>
              <w:top w:val="single" w:sz="4" w:space="0" w:color="auto"/>
              <w:left w:val="nil"/>
              <w:bottom w:val="single" w:sz="8" w:space="0" w:color="auto"/>
              <w:right w:val="nil"/>
            </w:tcBorders>
            <w:shd w:val="clear" w:color="auto" w:fill="auto"/>
            <w:noWrap/>
            <w:vAlign w:val="bottom"/>
            <w:hideMark/>
          </w:tcPr>
          <w:p w:rsidR="009C043D" w:rsidRPr="00D440C9" w:rsidRDefault="009C043D" w:rsidP="005A4A60">
            <w:pPr>
              <w:rPr>
                <w:rFonts w:ascii="Arial" w:hAnsi="Arial" w:cs="Arial"/>
                <w:sz w:val="18"/>
                <w:szCs w:val="18"/>
                <w:lang w:val="en-GB" w:eastAsia="en-GB"/>
              </w:rPr>
            </w:pPr>
            <w:r w:rsidRPr="00D440C9">
              <w:rPr>
                <w:rFonts w:ascii="Arial" w:hAnsi="Arial" w:cs="Arial"/>
                <w:sz w:val="18"/>
                <w:szCs w:val="18"/>
                <w:lang w:val="en-GB" w:eastAsia="en-GB"/>
              </w:rPr>
              <w:t> </w:t>
            </w:r>
          </w:p>
        </w:tc>
        <w:tc>
          <w:tcPr>
            <w:tcW w:w="1559" w:type="dxa"/>
            <w:tcBorders>
              <w:top w:val="single" w:sz="4" w:space="0" w:color="auto"/>
              <w:left w:val="nil"/>
              <w:bottom w:val="single" w:sz="8" w:space="0" w:color="auto"/>
              <w:right w:val="nil"/>
            </w:tcBorders>
            <w:shd w:val="clear" w:color="auto" w:fill="auto"/>
            <w:noWrap/>
            <w:vAlign w:val="bottom"/>
            <w:hideMark/>
          </w:tcPr>
          <w:p w:rsidR="009C043D" w:rsidRDefault="009C043D" w:rsidP="009C043D">
            <w:pPr>
              <w:jc w:val="right"/>
              <w:rPr>
                <w:rFonts w:ascii="Arial" w:hAnsi="Arial" w:cs="Arial"/>
                <w:b/>
                <w:bCs/>
                <w:sz w:val="18"/>
                <w:szCs w:val="18"/>
              </w:rPr>
            </w:pPr>
            <w:r>
              <w:rPr>
                <w:rFonts w:ascii="Arial" w:hAnsi="Arial" w:cs="Arial"/>
                <w:b/>
                <w:bCs/>
                <w:sz w:val="18"/>
                <w:szCs w:val="18"/>
              </w:rPr>
              <w:t xml:space="preserve">21,510,738 </w:t>
            </w:r>
          </w:p>
        </w:tc>
        <w:tc>
          <w:tcPr>
            <w:tcW w:w="1418" w:type="dxa"/>
            <w:tcBorders>
              <w:top w:val="single" w:sz="4" w:space="0" w:color="auto"/>
              <w:left w:val="nil"/>
              <w:bottom w:val="single" w:sz="8" w:space="0" w:color="auto"/>
              <w:right w:val="nil"/>
            </w:tcBorders>
            <w:shd w:val="clear" w:color="auto" w:fill="auto"/>
            <w:noWrap/>
            <w:vAlign w:val="bottom"/>
            <w:hideMark/>
          </w:tcPr>
          <w:p w:rsidR="009C043D" w:rsidRPr="009C043D" w:rsidRDefault="009C043D" w:rsidP="009C043D">
            <w:pPr>
              <w:jc w:val="right"/>
              <w:rPr>
                <w:rFonts w:ascii="Arial" w:hAnsi="Arial" w:cs="Arial"/>
                <w:bCs/>
                <w:sz w:val="18"/>
                <w:szCs w:val="18"/>
              </w:rPr>
            </w:pPr>
            <w:r w:rsidRPr="009C043D">
              <w:rPr>
                <w:rFonts w:ascii="Arial" w:hAnsi="Arial" w:cs="Arial"/>
                <w:bCs/>
                <w:sz w:val="18"/>
                <w:szCs w:val="18"/>
              </w:rPr>
              <w:t xml:space="preserve">21,032,324 </w:t>
            </w:r>
          </w:p>
        </w:tc>
      </w:tr>
    </w:tbl>
    <w:p w:rsidR="009C043D" w:rsidRPr="009E3AE5" w:rsidRDefault="009C043D" w:rsidP="0014028B">
      <w:pPr>
        <w:pStyle w:val="HTMLPreformatted"/>
        <w:rPr>
          <w:rFonts w:ascii="Arial" w:hAnsi="Arial" w:cs="Arial"/>
          <w:b/>
          <w:bCs/>
          <w:sz w:val="20"/>
          <w:szCs w:val="20"/>
        </w:rPr>
      </w:pPr>
    </w:p>
    <w:p w:rsidR="009C043D" w:rsidRPr="009E3AE5" w:rsidRDefault="009C043D" w:rsidP="0014028B">
      <w:pPr>
        <w:pStyle w:val="HTMLPreformatted"/>
        <w:rPr>
          <w:rFonts w:ascii="Arial" w:hAnsi="Arial" w:cs="Arial"/>
          <w:b/>
          <w:bCs/>
          <w:sz w:val="20"/>
          <w:szCs w:val="20"/>
        </w:rPr>
      </w:pPr>
    </w:p>
    <w:p w:rsidR="00B10E8F" w:rsidRPr="00D440C9" w:rsidRDefault="000433F6" w:rsidP="0014028B">
      <w:pPr>
        <w:pStyle w:val="BodyTextIndent"/>
        <w:tabs>
          <w:tab w:val="clear" w:pos="431"/>
        </w:tabs>
        <w:spacing w:after="120"/>
        <w:ind w:left="0"/>
        <w:rPr>
          <w:rFonts w:ascii="Arial" w:hAnsi="Arial" w:cs="Arial"/>
          <w:b/>
          <w:bCs/>
          <w:sz w:val="20"/>
        </w:rPr>
      </w:pPr>
      <w:r w:rsidRPr="00D440C9">
        <w:rPr>
          <w:rFonts w:ascii="Arial" w:hAnsi="Arial" w:cs="Arial"/>
          <w:b/>
          <w:bCs/>
          <w:sz w:val="20"/>
        </w:rPr>
        <w:t xml:space="preserve">Note </w:t>
      </w:r>
      <w:r w:rsidR="009377B0">
        <w:rPr>
          <w:rFonts w:ascii="Arial" w:hAnsi="Arial" w:cs="Arial"/>
          <w:b/>
          <w:bCs/>
          <w:sz w:val="20"/>
        </w:rPr>
        <w:t>7</w:t>
      </w:r>
      <w:r w:rsidRPr="00D440C9">
        <w:rPr>
          <w:rFonts w:ascii="Arial" w:hAnsi="Arial" w:cs="Arial"/>
          <w:b/>
          <w:bCs/>
          <w:sz w:val="20"/>
        </w:rPr>
        <w:t xml:space="preserve"> - Reconciliation of operating profit to net cash flow from operating activities</w:t>
      </w:r>
      <w:r w:rsidRPr="00D440C9">
        <w:rPr>
          <w:rFonts w:ascii="Arial" w:hAnsi="Arial" w:cs="Arial"/>
          <w:b/>
          <w:bCs/>
          <w:sz w:val="20"/>
        </w:rPr>
        <w:tab/>
      </w:r>
    </w:p>
    <w:tbl>
      <w:tblPr>
        <w:tblW w:w="9356" w:type="dxa"/>
        <w:tblInd w:w="108" w:type="dxa"/>
        <w:tblLook w:val="04A0" w:firstRow="1" w:lastRow="0" w:firstColumn="1" w:lastColumn="0" w:noHBand="0" w:noVBand="1"/>
      </w:tblPr>
      <w:tblGrid>
        <w:gridCol w:w="6663"/>
        <w:gridCol w:w="1417"/>
        <w:gridCol w:w="1276"/>
      </w:tblGrid>
      <w:tr w:rsidR="005A4A60" w:rsidRPr="00D440C9" w:rsidTr="009E3AE5">
        <w:trPr>
          <w:trHeight w:val="77"/>
        </w:trPr>
        <w:tc>
          <w:tcPr>
            <w:tcW w:w="6663" w:type="dxa"/>
            <w:tcBorders>
              <w:top w:val="nil"/>
              <w:left w:val="nil"/>
              <w:bottom w:val="nil"/>
              <w:right w:val="nil"/>
            </w:tcBorders>
            <w:shd w:val="clear" w:color="auto" w:fill="auto"/>
            <w:noWrap/>
            <w:vAlign w:val="bottom"/>
            <w:hideMark/>
          </w:tcPr>
          <w:p w:rsidR="005A4A60" w:rsidRPr="00D440C9" w:rsidRDefault="005A4A60" w:rsidP="00F9571E">
            <w:pPr>
              <w:rPr>
                <w:rFonts w:ascii="Arial" w:hAnsi="Arial" w:cs="Arial"/>
                <w:sz w:val="18"/>
                <w:szCs w:val="18"/>
                <w:lang w:val="en-GB" w:eastAsia="en-GB"/>
              </w:rPr>
            </w:pPr>
          </w:p>
        </w:tc>
        <w:tc>
          <w:tcPr>
            <w:tcW w:w="1417" w:type="dxa"/>
            <w:tcBorders>
              <w:top w:val="nil"/>
              <w:left w:val="nil"/>
              <w:bottom w:val="nil"/>
              <w:right w:val="nil"/>
            </w:tcBorders>
            <w:shd w:val="clear" w:color="auto" w:fill="auto"/>
            <w:noWrap/>
            <w:vAlign w:val="bottom"/>
            <w:hideMark/>
          </w:tcPr>
          <w:p w:rsidR="005A4A60" w:rsidRPr="00D440C9" w:rsidRDefault="005A4A60" w:rsidP="009C043D">
            <w:pPr>
              <w:jc w:val="right"/>
              <w:rPr>
                <w:rFonts w:ascii="Arial" w:hAnsi="Arial" w:cs="Arial"/>
                <w:b/>
                <w:bCs/>
                <w:sz w:val="18"/>
                <w:szCs w:val="18"/>
                <w:lang w:val="en-GB" w:eastAsia="en-GB"/>
              </w:rPr>
            </w:pPr>
            <w:r w:rsidRPr="00D440C9">
              <w:rPr>
                <w:rFonts w:ascii="Arial" w:hAnsi="Arial" w:cs="Arial"/>
                <w:b/>
                <w:bCs/>
                <w:sz w:val="18"/>
                <w:szCs w:val="18"/>
                <w:lang w:val="en-GB" w:eastAsia="en-GB"/>
              </w:rPr>
              <w:t>201</w:t>
            </w:r>
            <w:r w:rsidR="009C043D">
              <w:rPr>
                <w:rFonts w:ascii="Arial" w:hAnsi="Arial" w:cs="Arial"/>
                <w:b/>
                <w:bCs/>
                <w:sz w:val="18"/>
                <w:szCs w:val="18"/>
                <w:lang w:val="en-GB" w:eastAsia="en-GB"/>
              </w:rPr>
              <w:t>3</w:t>
            </w:r>
          </w:p>
        </w:tc>
        <w:tc>
          <w:tcPr>
            <w:tcW w:w="1276" w:type="dxa"/>
            <w:tcBorders>
              <w:top w:val="nil"/>
              <w:left w:val="nil"/>
              <w:bottom w:val="nil"/>
              <w:right w:val="nil"/>
            </w:tcBorders>
            <w:shd w:val="clear" w:color="auto" w:fill="auto"/>
            <w:noWrap/>
            <w:vAlign w:val="bottom"/>
            <w:hideMark/>
          </w:tcPr>
          <w:p w:rsidR="005A4A60" w:rsidRPr="00D440C9" w:rsidRDefault="005A4A60" w:rsidP="009C043D">
            <w:pPr>
              <w:jc w:val="right"/>
              <w:rPr>
                <w:rFonts w:ascii="Arial" w:hAnsi="Arial" w:cs="Arial"/>
                <w:sz w:val="18"/>
                <w:szCs w:val="18"/>
                <w:lang w:val="en-GB" w:eastAsia="en-GB"/>
              </w:rPr>
            </w:pPr>
            <w:r w:rsidRPr="00D440C9">
              <w:rPr>
                <w:rFonts w:ascii="Arial" w:hAnsi="Arial" w:cs="Arial"/>
                <w:sz w:val="18"/>
                <w:szCs w:val="18"/>
                <w:lang w:val="en-GB" w:eastAsia="en-GB"/>
              </w:rPr>
              <w:t>201</w:t>
            </w:r>
            <w:r w:rsidR="009C043D">
              <w:rPr>
                <w:rFonts w:ascii="Arial" w:hAnsi="Arial" w:cs="Arial"/>
                <w:sz w:val="18"/>
                <w:szCs w:val="18"/>
                <w:lang w:val="en-GB" w:eastAsia="en-GB"/>
              </w:rPr>
              <w:t>2</w:t>
            </w:r>
          </w:p>
        </w:tc>
      </w:tr>
      <w:tr w:rsidR="005A4A60" w:rsidRPr="00D440C9" w:rsidTr="009E3AE5">
        <w:trPr>
          <w:trHeight w:val="77"/>
        </w:trPr>
        <w:tc>
          <w:tcPr>
            <w:tcW w:w="6663" w:type="dxa"/>
            <w:tcBorders>
              <w:top w:val="nil"/>
              <w:left w:val="nil"/>
              <w:bottom w:val="single" w:sz="8" w:space="0" w:color="auto"/>
              <w:right w:val="nil"/>
            </w:tcBorders>
            <w:shd w:val="clear" w:color="auto" w:fill="auto"/>
            <w:noWrap/>
            <w:vAlign w:val="bottom"/>
            <w:hideMark/>
          </w:tcPr>
          <w:p w:rsidR="005A4A60" w:rsidRPr="00D440C9" w:rsidRDefault="005A4A60" w:rsidP="00F9571E">
            <w:pPr>
              <w:rPr>
                <w:rFonts w:ascii="Arial" w:hAnsi="Arial" w:cs="Arial"/>
                <w:sz w:val="18"/>
                <w:szCs w:val="18"/>
                <w:lang w:val="en-GB" w:eastAsia="en-GB"/>
              </w:rPr>
            </w:pPr>
            <w:r w:rsidRPr="00D440C9">
              <w:rPr>
                <w:rFonts w:ascii="Arial" w:hAnsi="Arial" w:cs="Arial"/>
                <w:sz w:val="18"/>
                <w:szCs w:val="18"/>
                <w:lang w:val="en-GB" w:eastAsia="en-GB"/>
              </w:rPr>
              <w:t> </w:t>
            </w:r>
          </w:p>
        </w:tc>
        <w:tc>
          <w:tcPr>
            <w:tcW w:w="1417" w:type="dxa"/>
            <w:tcBorders>
              <w:top w:val="nil"/>
              <w:left w:val="nil"/>
              <w:bottom w:val="single" w:sz="8" w:space="0" w:color="auto"/>
              <w:right w:val="nil"/>
            </w:tcBorders>
            <w:shd w:val="clear" w:color="auto" w:fill="auto"/>
            <w:noWrap/>
            <w:vAlign w:val="bottom"/>
            <w:hideMark/>
          </w:tcPr>
          <w:p w:rsidR="005A4A60" w:rsidRPr="00D440C9" w:rsidRDefault="005A4A60" w:rsidP="00F9571E">
            <w:pPr>
              <w:jc w:val="right"/>
              <w:rPr>
                <w:rFonts w:ascii="Arial" w:hAnsi="Arial" w:cs="Arial"/>
                <w:b/>
                <w:bCs/>
                <w:sz w:val="18"/>
                <w:szCs w:val="18"/>
                <w:lang w:val="en-GB" w:eastAsia="en-GB"/>
              </w:rPr>
            </w:pPr>
            <w:r w:rsidRPr="00D440C9">
              <w:rPr>
                <w:rFonts w:ascii="Arial" w:hAnsi="Arial" w:cs="Arial"/>
                <w:b/>
                <w:bCs/>
                <w:sz w:val="18"/>
                <w:szCs w:val="18"/>
                <w:lang w:val="en-GB" w:eastAsia="en-GB"/>
              </w:rPr>
              <w:t>£'000</w:t>
            </w:r>
          </w:p>
        </w:tc>
        <w:tc>
          <w:tcPr>
            <w:tcW w:w="1276" w:type="dxa"/>
            <w:tcBorders>
              <w:top w:val="nil"/>
              <w:left w:val="nil"/>
              <w:bottom w:val="single" w:sz="8" w:space="0" w:color="auto"/>
              <w:right w:val="nil"/>
            </w:tcBorders>
            <w:shd w:val="clear" w:color="auto" w:fill="auto"/>
            <w:noWrap/>
            <w:vAlign w:val="bottom"/>
            <w:hideMark/>
          </w:tcPr>
          <w:p w:rsidR="005A4A60" w:rsidRPr="00D440C9" w:rsidRDefault="005A4A60" w:rsidP="00F9571E">
            <w:pPr>
              <w:jc w:val="right"/>
              <w:rPr>
                <w:rFonts w:ascii="Arial" w:hAnsi="Arial" w:cs="Arial"/>
                <w:sz w:val="18"/>
                <w:szCs w:val="18"/>
                <w:lang w:val="en-GB" w:eastAsia="en-GB"/>
              </w:rPr>
            </w:pPr>
            <w:r w:rsidRPr="00D440C9">
              <w:rPr>
                <w:rFonts w:ascii="Arial" w:hAnsi="Arial" w:cs="Arial"/>
                <w:sz w:val="18"/>
                <w:szCs w:val="18"/>
                <w:lang w:val="en-GB" w:eastAsia="en-GB"/>
              </w:rPr>
              <w:t>£'000</w:t>
            </w:r>
          </w:p>
        </w:tc>
      </w:tr>
      <w:tr w:rsidR="009C043D" w:rsidRPr="00D440C9" w:rsidTr="009E3AE5">
        <w:trPr>
          <w:trHeight w:val="72"/>
        </w:trPr>
        <w:tc>
          <w:tcPr>
            <w:tcW w:w="6663" w:type="dxa"/>
            <w:tcBorders>
              <w:top w:val="nil"/>
              <w:left w:val="nil"/>
              <w:bottom w:val="nil"/>
              <w:right w:val="nil"/>
            </w:tcBorders>
            <w:shd w:val="clear" w:color="auto" w:fill="auto"/>
            <w:noWrap/>
            <w:vAlign w:val="bottom"/>
            <w:hideMark/>
          </w:tcPr>
          <w:p w:rsidR="009C043D" w:rsidRPr="00D440C9" w:rsidRDefault="009C043D" w:rsidP="00F9571E">
            <w:pPr>
              <w:rPr>
                <w:rFonts w:ascii="Arial" w:hAnsi="Arial" w:cs="Arial"/>
                <w:sz w:val="18"/>
                <w:szCs w:val="18"/>
                <w:lang w:val="en-GB" w:eastAsia="en-GB"/>
              </w:rPr>
            </w:pPr>
            <w:r w:rsidRPr="00D440C9">
              <w:rPr>
                <w:rFonts w:ascii="Arial" w:hAnsi="Arial" w:cs="Arial"/>
                <w:sz w:val="18"/>
                <w:szCs w:val="18"/>
                <w:lang w:val="en-GB" w:eastAsia="en-GB"/>
              </w:rPr>
              <w:t>Profit before tax for the year from continuing operations</w:t>
            </w:r>
          </w:p>
        </w:tc>
        <w:tc>
          <w:tcPr>
            <w:tcW w:w="1417" w:type="dxa"/>
            <w:tcBorders>
              <w:top w:val="nil"/>
              <w:left w:val="nil"/>
              <w:bottom w:val="nil"/>
              <w:right w:val="nil"/>
            </w:tcBorders>
            <w:shd w:val="clear" w:color="auto" w:fill="auto"/>
            <w:noWrap/>
            <w:vAlign w:val="bottom"/>
            <w:hideMark/>
          </w:tcPr>
          <w:p w:rsidR="009C043D" w:rsidRDefault="009C043D" w:rsidP="009C043D">
            <w:pPr>
              <w:jc w:val="right"/>
              <w:rPr>
                <w:rFonts w:ascii="Arial" w:hAnsi="Arial" w:cs="Arial"/>
                <w:b/>
                <w:bCs/>
                <w:sz w:val="18"/>
                <w:szCs w:val="18"/>
              </w:rPr>
            </w:pPr>
            <w:r>
              <w:rPr>
                <w:rFonts w:ascii="Arial" w:hAnsi="Arial" w:cs="Arial"/>
                <w:b/>
                <w:bCs/>
                <w:sz w:val="18"/>
                <w:szCs w:val="18"/>
              </w:rPr>
              <w:t>9,296</w:t>
            </w:r>
          </w:p>
        </w:tc>
        <w:tc>
          <w:tcPr>
            <w:tcW w:w="1276" w:type="dxa"/>
            <w:tcBorders>
              <w:top w:val="nil"/>
              <w:left w:val="nil"/>
              <w:bottom w:val="nil"/>
              <w:right w:val="nil"/>
            </w:tcBorders>
            <w:shd w:val="clear" w:color="auto" w:fill="auto"/>
            <w:noWrap/>
            <w:hideMark/>
          </w:tcPr>
          <w:p w:rsidR="009C043D" w:rsidRPr="009C043D" w:rsidRDefault="009C043D" w:rsidP="009C043D">
            <w:pPr>
              <w:pStyle w:val="03Bodynospace"/>
              <w:jc w:val="right"/>
            </w:pPr>
            <w:r w:rsidRPr="009C043D">
              <w:t>9,790</w:t>
            </w:r>
          </w:p>
        </w:tc>
      </w:tr>
      <w:tr w:rsidR="009C043D" w:rsidRPr="00D440C9" w:rsidTr="009E3AE5">
        <w:trPr>
          <w:trHeight w:val="138"/>
        </w:trPr>
        <w:tc>
          <w:tcPr>
            <w:tcW w:w="6663" w:type="dxa"/>
            <w:tcBorders>
              <w:top w:val="nil"/>
              <w:left w:val="nil"/>
              <w:bottom w:val="nil"/>
              <w:right w:val="nil"/>
            </w:tcBorders>
            <w:shd w:val="clear" w:color="auto" w:fill="auto"/>
            <w:noWrap/>
            <w:vAlign w:val="bottom"/>
            <w:hideMark/>
          </w:tcPr>
          <w:p w:rsidR="009C043D" w:rsidRPr="00D440C9" w:rsidRDefault="009C043D" w:rsidP="00F9571E">
            <w:pPr>
              <w:rPr>
                <w:rFonts w:ascii="Arial" w:hAnsi="Arial" w:cs="Arial"/>
                <w:sz w:val="18"/>
                <w:szCs w:val="18"/>
                <w:lang w:val="en-GB" w:eastAsia="en-GB"/>
              </w:rPr>
            </w:pPr>
            <w:r w:rsidRPr="00D440C9">
              <w:rPr>
                <w:rFonts w:ascii="Arial" w:hAnsi="Arial" w:cs="Arial"/>
                <w:sz w:val="18"/>
                <w:szCs w:val="18"/>
                <w:lang w:val="en-GB" w:eastAsia="en-GB"/>
              </w:rPr>
              <w:t>Adjustments for:</w:t>
            </w:r>
          </w:p>
        </w:tc>
        <w:tc>
          <w:tcPr>
            <w:tcW w:w="1417" w:type="dxa"/>
            <w:tcBorders>
              <w:top w:val="nil"/>
              <w:left w:val="nil"/>
              <w:bottom w:val="nil"/>
              <w:right w:val="nil"/>
            </w:tcBorders>
            <w:shd w:val="clear" w:color="auto" w:fill="auto"/>
            <w:noWrap/>
            <w:vAlign w:val="bottom"/>
            <w:hideMark/>
          </w:tcPr>
          <w:p w:rsidR="009C043D" w:rsidRDefault="009C043D" w:rsidP="009C043D">
            <w:pPr>
              <w:rPr>
                <w:rFonts w:ascii="Arial" w:hAnsi="Arial" w:cs="Arial"/>
                <w:b/>
                <w:bCs/>
                <w:sz w:val="18"/>
                <w:szCs w:val="18"/>
              </w:rPr>
            </w:pPr>
          </w:p>
        </w:tc>
        <w:tc>
          <w:tcPr>
            <w:tcW w:w="1276" w:type="dxa"/>
            <w:tcBorders>
              <w:top w:val="nil"/>
              <w:left w:val="nil"/>
              <w:bottom w:val="nil"/>
              <w:right w:val="nil"/>
            </w:tcBorders>
            <w:shd w:val="clear" w:color="auto" w:fill="auto"/>
            <w:noWrap/>
            <w:hideMark/>
          </w:tcPr>
          <w:p w:rsidR="009C043D" w:rsidRPr="009C043D" w:rsidRDefault="009C043D" w:rsidP="009C043D">
            <w:pPr>
              <w:pStyle w:val="03Bodynospace"/>
              <w:jc w:val="right"/>
            </w:pPr>
          </w:p>
        </w:tc>
      </w:tr>
      <w:tr w:rsidR="009C043D" w:rsidRPr="00D440C9" w:rsidTr="009E3AE5">
        <w:trPr>
          <w:trHeight w:val="85"/>
        </w:trPr>
        <w:tc>
          <w:tcPr>
            <w:tcW w:w="6663" w:type="dxa"/>
            <w:tcBorders>
              <w:top w:val="nil"/>
              <w:left w:val="nil"/>
              <w:bottom w:val="nil"/>
              <w:right w:val="nil"/>
            </w:tcBorders>
            <w:shd w:val="clear" w:color="auto" w:fill="auto"/>
            <w:noWrap/>
            <w:vAlign w:val="bottom"/>
            <w:hideMark/>
          </w:tcPr>
          <w:p w:rsidR="009C043D" w:rsidRPr="00D440C9" w:rsidRDefault="009C043D" w:rsidP="00121D06">
            <w:pPr>
              <w:rPr>
                <w:rFonts w:ascii="Arial" w:hAnsi="Arial" w:cs="Arial"/>
                <w:sz w:val="18"/>
                <w:szCs w:val="18"/>
                <w:lang w:val="en-GB" w:eastAsia="en-GB"/>
              </w:rPr>
            </w:pPr>
            <w:r w:rsidRPr="00D440C9">
              <w:rPr>
                <w:rFonts w:ascii="Arial" w:hAnsi="Arial" w:cs="Arial"/>
                <w:sz w:val="18"/>
                <w:szCs w:val="18"/>
                <w:lang w:val="en-GB" w:eastAsia="en-GB"/>
              </w:rPr>
              <w:t>- Depreciation</w:t>
            </w:r>
            <w:r>
              <w:rPr>
                <w:rFonts w:ascii="Arial" w:hAnsi="Arial" w:cs="Arial"/>
                <w:sz w:val="18"/>
                <w:szCs w:val="18"/>
                <w:lang w:val="en-GB" w:eastAsia="en-GB"/>
              </w:rPr>
              <w:t xml:space="preserve"> of property, plant and equipment</w:t>
            </w:r>
          </w:p>
        </w:tc>
        <w:tc>
          <w:tcPr>
            <w:tcW w:w="1417" w:type="dxa"/>
            <w:tcBorders>
              <w:top w:val="nil"/>
              <w:left w:val="nil"/>
              <w:bottom w:val="nil"/>
              <w:right w:val="nil"/>
            </w:tcBorders>
            <w:shd w:val="clear" w:color="auto" w:fill="auto"/>
            <w:noWrap/>
            <w:vAlign w:val="bottom"/>
            <w:hideMark/>
          </w:tcPr>
          <w:p w:rsidR="009C043D" w:rsidRDefault="009C043D" w:rsidP="009C043D">
            <w:pPr>
              <w:jc w:val="right"/>
              <w:rPr>
                <w:rFonts w:ascii="Arial" w:hAnsi="Arial" w:cs="Arial"/>
                <w:b/>
                <w:bCs/>
                <w:sz w:val="18"/>
                <w:szCs w:val="18"/>
              </w:rPr>
            </w:pPr>
            <w:r>
              <w:rPr>
                <w:rFonts w:ascii="Arial" w:hAnsi="Arial" w:cs="Arial"/>
                <w:b/>
                <w:bCs/>
                <w:sz w:val="18"/>
                <w:szCs w:val="18"/>
              </w:rPr>
              <w:t>1,051</w:t>
            </w:r>
          </w:p>
        </w:tc>
        <w:tc>
          <w:tcPr>
            <w:tcW w:w="1276" w:type="dxa"/>
            <w:tcBorders>
              <w:top w:val="nil"/>
              <w:left w:val="nil"/>
              <w:bottom w:val="nil"/>
              <w:right w:val="nil"/>
            </w:tcBorders>
            <w:shd w:val="clear" w:color="auto" w:fill="auto"/>
            <w:noWrap/>
            <w:hideMark/>
          </w:tcPr>
          <w:p w:rsidR="009C043D" w:rsidRPr="009C043D" w:rsidRDefault="009C043D" w:rsidP="009C043D">
            <w:pPr>
              <w:pStyle w:val="03Bodynospace"/>
              <w:jc w:val="right"/>
            </w:pPr>
            <w:r w:rsidRPr="009C043D">
              <w:t>990</w:t>
            </w:r>
          </w:p>
        </w:tc>
      </w:tr>
      <w:tr w:rsidR="009C043D" w:rsidRPr="00D440C9" w:rsidTr="009E3AE5">
        <w:trPr>
          <w:trHeight w:val="85"/>
        </w:trPr>
        <w:tc>
          <w:tcPr>
            <w:tcW w:w="6663" w:type="dxa"/>
            <w:tcBorders>
              <w:top w:val="nil"/>
              <w:left w:val="nil"/>
              <w:bottom w:val="nil"/>
              <w:right w:val="nil"/>
            </w:tcBorders>
            <w:shd w:val="clear" w:color="auto" w:fill="auto"/>
            <w:noWrap/>
            <w:vAlign w:val="bottom"/>
          </w:tcPr>
          <w:p w:rsidR="009C043D" w:rsidRPr="00D440C9" w:rsidRDefault="009C043D" w:rsidP="00121D06">
            <w:pPr>
              <w:rPr>
                <w:rFonts w:ascii="Arial" w:hAnsi="Arial" w:cs="Arial"/>
                <w:sz w:val="18"/>
                <w:szCs w:val="18"/>
                <w:lang w:val="en-GB" w:eastAsia="en-GB"/>
              </w:rPr>
            </w:pPr>
            <w:r w:rsidRPr="00D440C9">
              <w:rPr>
                <w:rFonts w:ascii="Arial" w:hAnsi="Arial" w:cs="Arial"/>
                <w:sz w:val="18"/>
                <w:szCs w:val="18"/>
                <w:lang w:val="en-GB" w:eastAsia="en-GB"/>
              </w:rPr>
              <w:t xml:space="preserve">- </w:t>
            </w:r>
            <w:r>
              <w:rPr>
                <w:rFonts w:ascii="Arial" w:hAnsi="Arial" w:cs="Arial"/>
                <w:sz w:val="18"/>
                <w:szCs w:val="18"/>
                <w:lang w:val="en-GB" w:eastAsia="en-GB"/>
              </w:rPr>
              <w:t>Amortisation of computer software</w:t>
            </w:r>
          </w:p>
        </w:tc>
        <w:tc>
          <w:tcPr>
            <w:tcW w:w="1417" w:type="dxa"/>
            <w:tcBorders>
              <w:top w:val="nil"/>
              <w:left w:val="nil"/>
              <w:bottom w:val="nil"/>
              <w:right w:val="nil"/>
            </w:tcBorders>
            <w:shd w:val="clear" w:color="auto" w:fill="auto"/>
            <w:noWrap/>
            <w:vAlign w:val="bottom"/>
          </w:tcPr>
          <w:p w:rsidR="009C043D" w:rsidRDefault="009C043D" w:rsidP="009C043D">
            <w:pPr>
              <w:jc w:val="right"/>
              <w:rPr>
                <w:rFonts w:ascii="Arial" w:hAnsi="Arial" w:cs="Arial"/>
                <w:b/>
                <w:bCs/>
                <w:sz w:val="18"/>
                <w:szCs w:val="18"/>
              </w:rPr>
            </w:pPr>
            <w:r>
              <w:rPr>
                <w:rFonts w:ascii="Arial" w:hAnsi="Arial" w:cs="Arial"/>
                <w:b/>
                <w:bCs/>
                <w:sz w:val="18"/>
                <w:szCs w:val="18"/>
              </w:rPr>
              <w:t>187</w:t>
            </w:r>
          </w:p>
        </w:tc>
        <w:tc>
          <w:tcPr>
            <w:tcW w:w="1276" w:type="dxa"/>
            <w:tcBorders>
              <w:top w:val="nil"/>
              <w:left w:val="nil"/>
              <w:bottom w:val="nil"/>
              <w:right w:val="nil"/>
            </w:tcBorders>
            <w:shd w:val="clear" w:color="auto" w:fill="auto"/>
            <w:noWrap/>
          </w:tcPr>
          <w:p w:rsidR="009C043D" w:rsidRPr="009C043D" w:rsidRDefault="009C043D" w:rsidP="009C043D">
            <w:pPr>
              <w:pStyle w:val="03Bodynospace"/>
              <w:jc w:val="right"/>
            </w:pPr>
            <w:r w:rsidRPr="009C043D">
              <w:t>259</w:t>
            </w:r>
          </w:p>
        </w:tc>
      </w:tr>
      <w:tr w:rsidR="009C043D" w:rsidRPr="00D440C9" w:rsidTr="009E3AE5">
        <w:trPr>
          <w:trHeight w:val="158"/>
        </w:trPr>
        <w:tc>
          <w:tcPr>
            <w:tcW w:w="6663" w:type="dxa"/>
            <w:tcBorders>
              <w:top w:val="nil"/>
              <w:left w:val="nil"/>
              <w:bottom w:val="nil"/>
              <w:right w:val="nil"/>
            </w:tcBorders>
            <w:shd w:val="clear" w:color="auto" w:fill="auto"/>
            <w:noWrap/>
            <w:vAlign w:val="bottom"/>
            <w:hideMark/>
          </w:tcPr>
          <w:p w:rsidR="009C043D" w:rsidRPr="00D440C9" w:rsidRDefault="009C043D" w:rsidP="00F9571E">
            <w:pPr>
              <w:rPr>
                <w:rFonts w:ascii="Arial" w:hAnsi="Arial" w:cs="Arial"/>
                <w:sz w:val="18"/>
                <w:szCs w:val="18"/>
                <w:lang w:val="en-GB" w:eastAsia="en-GB"/>
              </w:rPr>
            </w:pPr>
            <w:r w:rsidRPr="00D440C9">
              <w:rPr>
                <w:rFonts w:ascii="Arial" w:hAnsi="Arial" w:cs="Arial"/>
                <w:sz w:val="18"/>
                <w:szCs w:val="18"/>
                <w:lang w:val="en-GB" w:eastAsia="en-GB"/>
              </w:rPr>
              <w:t>- Amortisation</w:t>
            </w:r>
            <w:r>
              <w:rPr>
                <w:rFonts w:ascii="Arial" w:hAnsi="Arial" w:cs="Arial"/>
                <w:sz w:val="18"/>
                <w:szCs w:val="18"/>
                <w:lang w:val="en-GB" w:eastAsia="en-GB"/>
              </w:rPr>
              <w:t xml:space="preserve"> of other intangible assets</w:t>
            </w:r>
          </w:p>
        </w:tc>
        <w:tc>
          <w:tcPr>
            <w:tcW w:w="1417" w:type="dxa"/>
            <w:tcBorders>
              <w:top w:val="nil"/>
              <w:left w:val="nil"/>
              <w:bottom w:val="nil"/>
              <w:right w:val="nil"/>
            </w:tcBorders>
            <w:shd w:val="clear" w:color="auto" w:fill="auto"/>
            <w:noWrap/>
            <w:vAlign w:val="bottom"/>
            <w:hideMark/>
          </w:tcPr>
          <w:p w:rsidR="009C043D" w:rsidRDefault="009C043D" w:rsidP="009C043D">
            <w:pPr>
              <w:jc w:val="right"/>
              <w:rPr>
                <w:rFonts w:ascii="Arial" w:hAnsi="Arial" w:cs="Arial"/>
                <w:b/>
                <w:bCs/>
                <w:sz w:val="18"/>
                <w:szCs w:val="18"/>
              </w:rPr>
            </w:pPr>
            <w:r>
              <w:rPr>
                <w:rFonts w:ascii="Arial" w:hAnsi="Arial" w:cs="Arial"/>
                <w:b/>
                <w:bCs/>
                <w:sz w:val="18"/>
                <w:szCs w:val="18"/>
              </w:rPr>
              <w:t>1,538</w:t>
            </w:r>
          </w:p>
        </w:tc>
        <w:tc>
          <w:tcPr>
            <w:tcW w:w="1276" w:type="dxa"/>
            <w:tcBorders>
              <w:top w:val="nil"/>
              <w:left w:val="nil"/>
              <w:bottom w:val="nil"/>
              <w:right w:val="nil"/>
            </w:tcBorders>
            <w:shd w:val="clear" w:color="auto" w:fill="auto"/>
            <w:noWrap/>
            <w:hideMark/>
          </w:tcPr>
          <w:p w:rsidR="009C043D" w:rsidRPr="009C043D" w:rsidRDefault="009C043D" w:rsidP="009C043D">
            <w:pPr>
              <w:pStyle w:val="03Bodynospace"/>
              <w:jc w:val="right"/>
            </w:pPr>
            <w:r w:rsidRPr="009C043D">
              <w:t>1,458</w:t>
            </w:r>
          </w:p>
        </w:tc>
      </w:tr>
      <w:tr w:rsidR="009C043D" w:rsidRPr="00D440C9" w:rsidTr="009E3AE5">
        <w:trPr>
          <w:trHeight w:val="91"/>
        </w:trPr>
        <w:tc>
          <w:tcPr>
            <w:tcW w:w="6663" w:type="dxa"/>
            <w:tcBorders>
              <w:top w:val="nil"/>
              <w:left w:val="nil"/>
              <w:bottom w:val="nil"/>
              <w:right w:val="nil"/>
            </w:tcBorders>
            <w:shd w:val="clear" w:color="auto" w:fill="auto"/>
            <w:noWrap/>
            <w:vAlign w:val="bottom"/>
            <w:hideMark/>
          </w:tcPr>
          <w:p w:rsidR="009C043D" w:rsidRPr="00D440C9" w:rsidRDefault="009C043D" w:rsidP="004F2FDF">
            <w:pPr>
              <w:rPr>
                <w:rFonts w:ascii="Arial" w:hAnsi="Arial" w:cs="Arial"/>
                <w:sz w:val="18"/>
                <w:szCs w:val="18"/>
                <w:lang w:val="en-GB" w:eastAsia="en-GB"/>
              </w:rPr>
            </w:pPr>
            <w:r w:rsidRPr="00D440C9">
              <w:rPr>
                <w:rFonts w:ascii="Arial" w:hAnsi="Arial" w:cs="Arial"/>
                <w:sz w:val="18"/>
                <w:szCs w:val="18"/>
                <w:lang w:val="en-GB" w:eastAsia="en-GB"/>
              </w:rPr>
              <w:t xml:space="preserve">- </w:t>
            </w:r>
            <w:r>
              <w:rPr>
                <w:rFonts w:ascii="Arial" w:hAnsi="Arial" w:cs="Arial"/>
                <w:sz w:val="18"/>
                <w:szCs w:val="18"/>
                <w:lang w:val="en-GB" w:eastAsia="en-GB"/>
              </w:rPr>
              <w:t>L</w:t>
            </w:r>
            <w:r w:rsidRPr="00D440C9">
              <w:rPr>
                <w:rFonts w:ascii="Arial" w:hAnsi="Arial" w:cs="Arial"/>
                <w:sz w:val="18"/>
                <w:szCs w:val="18"/>
                <w:lang w:val="en-GB" w:eastAsia="en-GB"/>
              </w:rPr>
              <w:t>oss</w:t>
            </w:r>
            <w:r>
              <w:rPr>
                <w:rFonts w:ascii="Arial" w:hAnsi="Arial" w:cs="Arial"/>
                <w:sz w:val="18"/>
                <w:szCs w:val="18"/>
                <w:lang w:val="en-GB" w:eastAsia="en-GB"/>
              </w:rPr>
              <w:t>/(profit)</w:t>
            </w:r>
            <w:r w:rsidRPr="00D440C9">
              <w:rPr>
                <w:rFonts w:ascii="Arial" w:hAnsi="Arial" w:cs="Arial"/>
                <w:sz w:val="18"/>
                <w:szCs w:val="18"/>
                <w:lang w:val="en-GB" w:eastAsia="en-GB"/>
              </w:rPr>
              <w:t xml:space="preserve"> on sale of property plant and equipment</w:t>
            </w:r>
          </w:p>
        </w:tc>
        <w:tc>
          <w:tcPr>
            <w:tcW w:w="1417" w:type="dxa"/>
            <w:tcBorders>
              <w:top w:val="nil"/>
              <w:left w:val="nil"/>
              <w:bottom w:val="nil"/>
              <w:right w:val="nil"/>
            </w:tcBorders>
            <w:shd w:val="clear" w:color="auto" w:fill="auto"/>
            <w:noWrap/>
            <w:vAlign w:val="bottom"/>
            <w:hideMark/>
          </w:tcPr>
          <w:p w:rsidR="009C043D" w:rsidRDefault="009C043D" w:rsidP="00541E96">
            <w:pPr>
              <w:jc w:val="right"/>
              <w:rPr>
                <w:rFonts w:ascii="Arial" w:hAnsi="Arial" w:cs="Arial"/>
                <w:b/>
                <w:bCs/>
                <w:sz w:val="18"/>
                <w:szCs w:val="18"/>
              </w:rPr>
            </w:pPr>
            <w:r>
              <w:rPr>
                <w:rFonts w:ascii="Arial" w:hAnsi="Arial" w:cs="Arial"/>
                <w:b/>
                <w:bCs/>
                <w:sz w:val="18"/>
                <w:szCs w:val="18"/>
              </w:rPr>
              <w:t>(</w:t>
            </w:r>
            <w:r w:rsidR="00541E96">
              <w:rPr>
                <w:rFonts w:ascii="Arial" w:hAnsi="Arial" w:cs="Arial"/>
                <w:b/>
                <w:bCs/>
                <w:sz w:val="18"/>
                <w:szCs w:val="18"/>
              </w:rPr>
              <w:t>37</w:t>
            </w:r>
            <w:r>
              <w:rPr>
                <w:rFonts w:ascii="Arial" w:hAnsi="Arial" w:cs="Arial"/>
                <w:b/>
                <w:bCs/>
                <w:sz w:val="18"/>
                <w:szCs w:val="18"/>
              </w:rPr>
              <w:t>)</w:t>
            </w:r>
          </w:p>
        </w:tc>
        <w:tc>
          <w:tcPr>
            <w:tcW w:w="1276" w:type="dxa"/>
            <w:tcBorders>
              <w:top w:val="nil"/>
              <w:left w:val="nil"/>
              <w:bottom w:val="nil"/>
              <w:right w:val="nil"/>
            </w:tcBorders>
            <w:shd w:val="clear" w:color="auto" w:fill="auto"/>
            <w:noWrap/>
            <w:hideMark/>
          </w:tcPr>
          <w:p w:rsidR="009C043D" w:rsidRPr="009C043D" w:rsidRDefault="009C043D" w:rsidP="009C043D">
            <w:pPr>
              <w:pStyle w:val="03Bodynospace"/>
              <w:jc w:val="right"/>
            </w:pPr>
            <w:r w:rsidRPr="009C043D">
              <w:t>118</w:t>
            </w:r>
          </w:p>
        </w:tc>
      </w:tr>
      <w:tr w:rsidR="009C043D" w:rsidRPr="00D440C9" w:rsidTr="009E3AE5">
        <w:trPr>
          <w:trHeight w:val="91"/>
        </w:trPr>
        <w:tc>
          <w:tcPr>
            <w:tcW w:w="6663" w:type="dxa"/>
            <w:tcBorders>
              <w:top w:val="nil"/>
              <w:left w:val="nil"/>
              <w:bottom w:val="nil"/>
              <w:right w:val="nil"/>
            </w:tcBorders>
            <w:shd w:val="clear" w:color="auto" w:fill="auto"/>
            <w:noWrap/>
            <w:vAlign w:val="bottom"/>
          </w:tcPr>
          <w:p w:rsidR="009C043D" w:rsidRPr="00D440C9" w:rsidRDefault="009C043D" w:rsidP="004F2FDF">
            <w:pPr>
              <w:rPr>
                <w:rFonts w:ascii="Arial" w:hAnsi="Arial" w:cs="Arial"/>
                <w:sz w:val="18"/>
                <w:szCs w:val="18"/>
                <w:lang w:val="en-GB" w:eastAsia="en-GB"/>
              </w:rPr>
            </w:pPr>
            <w:r>
              <w:rPr>
                <w:rFonts w:ascii="Arial" w:hAnsi="Arial" w:cs="Arial"/>
                <w:sz w:val="18"/>
                <w:szCs w:val="18"/>
                <w:lang w:val="en-GB" w:eastAsia="en-GB"/>
              </w:rPr>
              <w:t>- Non-recurring income and expenses</w:t>
            </w:r>
          </w:p>
        </w:tc>
        <w:tc>
          <w:tcPr>
            <w:tcW w:w="1417" w:type="dxa"/>
            <w:tcBorders>
              <w:top w:val="nil"/>
              <w:left w:val="nil"/>
              <w:bottom w:val="nil"/>
              <w:right w:val="nil"/>
            </w:tcBorders>
            <w:shd w:val="clear" w:color="auto" w:fill="auto"/>
            <w:noWrap/>
            <w:vAlign w:val="bottom"/>
          </w:tcPr>
          <w:p w:rsidR="009C043D" w:rsidRDefault="009C043D" w:rsidP="009C043D">
            <w:pPr>
              <w:jc w:val="right"/>
              <w:rPr>
                <w:rFonts w:ascii="Arial" w:hAnsi="Arial" w:cs="Arial"/>
                <w:b/>
                <w:bCs/>
                <w:sz w:val="18"/>
                <w:szCs w:val="18"/>
              </w:rPr>
            </w:pPr>
            <w:r>
              <w:rPr>
                <w:rFonts w:ascii="Arial" w:hAnsi="Arial" w:cs="Arial"/>
                <w:b/>
                <w:bCs/>
                <w:sz w:val="18"/>
                <w:szCs w:val="18"/>
              </w:rPr>
              <w:t xml:space="preserve">-  </w:t>
            </w:r>
          </w:p>
        </w:tc>
        <w:tc>
          <w:tcPr>
            <w:tcW w:w="1276" w:type="dxa"/>
            <w:tcBorders>
              <w:top w:val="nil"/>
              <w:left w:val="nil"/>
              <w:bottom w:val="nil"/>
              <w:right w:val="nil"/>
            </w:tcBorders>
            <w:shd w:val="clear" w:color="auto" w:fill="auto"/>
            <w:noWrap/>
          </w:tcPr>
          <w:p w:rsidR="009C043D" w:rsidRPr="009C043D" w:rsidRDefault="009C043D" w:rsidP="009C043D">
            <w:pPr>
              <w:pStyle w:val="03Bodynospace"/>
              <w:jc w:val="right"/>
            </w:pPr>
            <w:r w:rsidRPr="009C043D">
              <w:t>(423)</w:t>
            </w:r>
          </w:p>
        </w:tc>
      </w:tr>
      <w:tr w:rsidR="009C043D" w:rsidRPr="00D440C9" w:rsidTr="009E3AE5">
        <w:trPr>
          <w:trHeight w:val="165"/>
        </w:trPr>
        <w:tc>
          <w:tcPr>
            <w:tcW w:w="6663" w:type="dxa"/>
            <w:tcBorders>
              <w:top w:val="nil"/>
              <w:left w:val="nil"/>
              <w:bottom w:val="nil"/>
              <w:right w:val="nil"/>
            </w:tcBorders>
            <w:shd w:val="clear" w:color="auto" w:fill="auto"/>
            <w:noWrap/>
            <w:vAlign w:val="bottom"/>
            <w:hideMark/>
          </w:tcPr>
          <w:p w:rsidR="009C043D" w:rsidRPr="00D440C9" w:rsidRDefault="009C043D" w:rsidP="00F9571E">
            <w:pPr>
              <w:rPr>
                <w:rFonts w:ascii="Arial" w:hAnsi="Arial" w:cs="Arial"/>
                <w:sz w:val="18"/>
                <w:szCs w:val="18"/>
                <w:lang w:val="en-GB" w:eastAsia="en-GB"/>
              </w:rPr>
            </w:pPr>
            <w:r w:rsidRPr="00D440C9">
              <w:rPr>
                <w:rFonts w:ascii="Arial" w:hAnsi="Arial" w:cs="Arial"/>
                <w:sz w:val="18"/>
                <w:szCs w:val="18"/>
                <w:lang w:val="en-GB" w:eastAsia="en-GB"/>
              </w:rPr>
              <w:t>- Finance income</w:t>
            </w:r>
          </w:p>
        </w:tc>
        <w:tc>
          <w:tcPr>
            <w:tcW w:w="1417" w:type="dxa"/>
            <w:tcBorders>
              <w:top w:val="nil"/>
              <w:left w:val="nil"/>
              <w:bottom w:val="nil"/>
              <w:right w:val="nil"/>
            </w:tcBorders>
            <w:shd w:val="clear" w:color="auto" w:fill="auto"/>
            <w:noWrap/>
            <w:vAlign w:val="bottom"/>
            <w:hideMark/>
          </w:tcPr>
          <w:p w:rsidR="009C043D" w:rsidRDefault="009C043D" w:rsidP="009C043D">
            <w:pPr>
              <w:jc w:val="right"/>
              <w:rPr>
                <w:rFonts w:ascii="Arial" w:hAnsi="Arial" w:cs="Arial"/>
                <w:b/>
                <w:bCs/>
                <w:sz w:val="18"/>
                <w:szCs w:val="18"/>
              </w:rPr>
            </w:pPr>
            <w:r>
              <w:rPr>
                <w:rFonts w:ascii="Arial" w:hAnsi="Arial" w:cs="Arial"/>
                <w:b/>
                <w:bCs/>
                <w:sz w:val="18"/>
                <w:szCs w:val="18"/>
              </w:rPr>
              <w:t>(296)</w:t>
            </w:r>
          </w:p>
        </w:tc>
        <w:tc>
          <w:tcPr>
            <w:tcW w:w="1276" w:type="dxa"/>
            <w:tcBorders>
              <w:top w:val="nil"/>
              <w:left w:val="nil"/>
              <w:bottom w:val="nil"/>
              <w:right w:val="nil"/>
            </w:tcBorders>
            <w:shd w:val="clear" w:color="auto" w:fill="auto"/>
            <w:noWrap/>
            <w:hideMark/>
          </w:tcPr>
          <w:p w:rsidR="009C043D" w:rsidRPr="009C043D" w:rsidRDefault="009C043D" w:rsidP="009C043D">
            <w:pPr>
              <w:pStyle w:val="03Bodynospace"/>
              <w:jc w:val="right"/>
            </w:pPr>
            <w:r w:rsidRPr="009C043D">
              <w:t>(213)</w:t>
            </w:r>
          </w:p>
        </w:tc>
      </w:tr>
      <w:tr w:rsidR="009C043D" w:rsidRPr="00D440C9" w:rsidTr="009E3AE5">
        <w:trPr>
          <w:trHeight w:val="110"/>
        </w:trPr>
        <w:tc>
          <w:tcPr>
            <w:tcW w:w="6663" w:type="dxa"/>
            <w:tcBorders>
              <w:top w:val="nil"/>
              <w:left w:val="nil"/>
              <w:bottom w:val="nil"/>
              <w:right w:val="nil"/>
            </w:tcBorders>
            <w:shd w:val="clear" w:color="auto" w:fill="auto"/>
            <w:noWrap/>
            <w:vAlign w:val="bottom"/>
            <w:hideMark/>
          </w:tcPr>
          <w:p w:rsidR="009C043D" w:rsidRPr="00D440C9" w:rsidRDefault="009C043D" w:rsidP="00F9571E">
            <w:pPr>
              <w:rPr>
                <w:rFonts w:ascii="Arial" w:hAnsi="Arial" w:cs="Arial"/>
                <w:sz w:val="18"/>
                <w:szCs w:val="18"/>
                <w:lang w:val="en-GB" w:eastAsia="en-GB"/>
              </w:rPr>
            </w:pPr>
            <w:r w:rsidRPr="00D440C9">
              <w:rPr>
                <w:rFonts w:ascii="Arial" w:hAnsi="Arial" w:cs="Arial"/>
                <w:sz w:val="18"/>
                <w:szCs w:val="18"/>
                <w:lang w:val="en-GB" w:eastAsia="en-GB"/>
              </w:rPr>
              <w:t>- Finance expense</w:t>
            </w:r>
          </w:p>
        </w:tc>
        <w:tc>
          <w:tcPr>
            <w:tcW w:w="1417" w:type="dxa"/>
            <w:tcBorders>
              <w:top w:val="nil"/>
              <w:left w:val="nil"/>
              <w:bottom w:val="nil"/>
              <w:right w:val="nil"/>
            </w:tcBorders>
            <w:shd w:val="clear" w:color="auto" w:fill="auto"/>
            <w:noWrap/>
            <w:vAlign w:val="bottom"/>
            <w:hideMark/>
          </w:tcPr>
          <w:p w:rsidR="009C043D" w:rsidRDefault="009C043D" w:rsidP="009C043D">
            <w:pPr>
              <w:jc w:val="right"/>
              <w:rPr>
                <w:rFonts w:ascii="Arial" w:hAnsi="Arial" w:cs="Arial"/>
                <w:b/>
                <w:bCs/>
                <w:sz w:val="18"/>
                <w:szCs w:val="18"/>
              </w:rPr>
            </w:pPr>
            <w:r>
              <w:rPr>
                <w:rFonts w:ascii="Arial" w:hAnsi="Arial" w:cs="Arial"/>
                <w:b/>
                <w:bCs/>
                <w:sz w:val="18"/>
                <w:szCs w:val="18"/>
              </w:rPr>
              <w:t>45</w:t>
            </w:r>
          </w:p>
        </w:tc>
        <w:tc>
          <w:tcPr>
            <w:tcW w:w="1276" w:type="dxa"/>
            <w:tcBorders>
              <w:top w:val="nil"/>
              <w:left w:val="nil"/>
              <w:bottom w:val="nil"/>
              <w:right w:val="nil"/>
            </w:tcBorders>
            <w:shd w:val="clear" w:color="auto" w:fill="auto"/>
            <w:noWrap/>
            <w:hideMark/>
          </w:tcPr>
          <w:p w:rsidR="009C043D" w:rsidRPr="009C043D" w:rsidRDefault="009C043D" w:rsidP="009C043D">
            <w:pPr>
              <w:pStyle w:val="03Bodynospace"/>
              <w:jc w:val="right"/>
            </w:pPr>
            <w:r w:rsidRPr="009C043D">
              <w:t>32</w:t>
            </w:r>
          </w:p>
        </w:tc>
      </w:tr>
      <w:tr w:rsidR="009C043D" w:rsidRPr="00D440C9" w:rsidTr="009E3AE5">
        <w:trPr>
          <w:trHeight w:val="171"/>
        </w:trPr>
        <w:tc>
          <w:tcPr>
            <w:tcW w:w="6663" w:type="dxa"/>
            <w:tcBorders>
              <w:top w:val="nil"/>
              <w:left w:val="nil"/>
              <w:bottom w:val="nil"/>
              <w:right w:val="nil"/>
            </w:tcBorders>
            <w:shd w:val="clear" w:color="auto" w:fill="auto"/>
            <w:noWrap/>
            <w:vAlign w:val="bottom"/>
            <w:hideMark/>
          </w:tcPr>
          <w:p w:rsidR="009C043D" w:rsidRPr="00D440C9" w:rsidRDefault="009C043D" w:rsidP="00F9571E">
            <w:pPr>
              <w:rPr>
                <w:rFonts w:ascii="Arial" w:hAnsi="Arial" w:cs="Arial"/>
                <w:sz w:val="18"/>
                <w:szCs w:val="18"/>
                <w:lang w:val="en-GB" w:eastAsia="en-GB"/>
              </w:rPr>
            </w:pPr>
            <w:r w:rsidRPr="00D440C9">
              <w:rPr>
                <w:rFonts w:ascii="Arial" w:hAnsi="Arial" w:cs="Arial"/>
                <w:sz w:val="18"/>
                <w:szCs w:val="18"/>
                <w:lang w:val="en-GB" w:eastAsia="en-GB"/>
              </w:rPr>
              <w:t>- Share of profit of joint ventures</w:t>
            </w:r>
          </w:p>
        </w:tc>
        <w:tc>
          <w:tcPr>
            <w:tcW w:w="1417" w:type="dxa"/>
            <w:tcBorders>
              <w:top w:val="nil"/>
              <w:left w:val="nil"/>
              <w:bottom w:val="nil"/>
              <w:right w:val="nil"/>
            </w:tcBorders>
            <w:shd w:val="clear" w:color="auto" w:fill="auto"/>
            <w:noWrap/>
            <w:vAlign w:val="bottom"/>
            <w:hideMark/>
          </w:tcPr>
          <w:p w:rsidR="009C043D" w:rsidRDefault="009C043D" w:rsidP="009C043D">
            <w:pPr>
              <w:jc w:val="right"/>
              <w:rPr>
                <w:rFonts w:ascii="Arial" w:hAnsi="Arial" w:cs="Arial"/>
                <w:b/>
                <w:bCs/>
                <w:sz w:val="18"/>
                <w:szCs w:val="18"/>
              </w:rPr>
            </w:pPr>
            <w:r>
              <w:rPr>
                <w:rFonts w:ascii="Arial" w:hAnsi="Arial" w:cs="Arial"/>
                <w:b/>
                <w:bCs/>
                <w:sz w:val="18"/>
                <w:szCs w:val="18"/>
              </w:rPr>
              <w:t>(62)</w:t>
            </w:r>
          </w:p>
        </w:tc>
        <w:tc>
          <w:tcPr>
            <w:tcW w:w="1276" w:type="dxa"/>
            <w:tcBorders>
              <w:top w:val="nil"/>
              <w:left w:val="nil"/>
              <w:bottom w:val="nil"/>
              <w:right w:val="nil"/>
            </w:tcBorders>
            <w:shd w:val="clear" w:color="auto" w:fill="auto"/>
            <w:noWrap/>
            <w:hideMark/>
          </w:tcPr>
          <w:p w:rsidR="009C043D" w:rsidRPr="009C043D" w:rsidRDefault="009C043D" w:rsidP="009C043D">
            <w:pPr>
              <w:pStyle w:val="03Bodynospace"/>
              <w:jc w:val="right"/>
            </w:pPr>
            <w:r w:rsidRPr="009C043D">
              <w:t>(252)</w:t>
            </w:r>
          </w:p>
        </w:tc>
      </w:tr>
      <w:tr w:rsidR="009C043D" w:rsidRPr="00D440C9" w:rsidTr="009E3AE5">
        <w:trPr>
          <w:trHeight w:val="117"/>
        </w:trPr>
        <w:tc>
          <w:tcPr>
            <w:tcW w:w="6663" w:type="dxa"/>
            <w:tcBorders>
              <w:top w:val="nil"/>
              <w:left w:val="nil"/>
              <w:bottom w:val="nil"/>
              <w:right w:val="nil"/>
            </w:tcBorders>
            <w:shd w:val="clear" w:color="auto" w:fill="auto"/>
            <w:noWrap/>
            <w:vAlign w:val="bottom"/>
            <w:hideMark/>
          </w:tcPr>
          <w:p w:rsidR="009C043D" w:rsidRPr="00D440C9" w:rsidRDefault="009C043D" w:rsidP="00F9571E">
            <w:pPr>
              <w:rPr>
                <w:rFonts w:ascii="Arial" w:hAnsi="Arial" w:cs="Arial"/>
                <w:sz w:val="18"/>
                <w:szCs w:val="18"/>
                <w:lang w:val="en-GB" w:eastAsia="en-GB"/>
              </w:rPr>
            </w:pPr>
            <w:r w:rsidRPr="00D440C9">
              <w:rPr>
                <w:rFonts w:ascii="Arial" w:hAnsi="Arial" w:cs="Arial"/>
                <w:sz w:val="18"/>
                <w:szCs w:val="18"/>
                <w:lang w:val="en-GB" w:eastAsia="en-GB"/>
              </w:rPr>
              <w:t>- Share based payments</w:t>
            </w:r>
          </w:p>
        </w:tc>
        <w:tc>
          <w:tcPr>
            <w:tcW w:w="1417" w:type="dxa"/>
            <w:tcBorders>
              <w:top w:val="nil"/>
              <w:left w:val="nil"/>
              <w:bottom w:val="nil"/>
              <w:right w:val="nil"/>
            </w:tcBorders>
            <w:shd w:val="clear" w:color="auto" w:fill="auto"/>
            <w:noWrap/>
            <w:vAlign w:val="bottom"/>
            <w:hideMark/>
          </w:tcPr>
          <w:p w:rsidR="009C043D" w:rsidRDefault="009C043D" w:rsidP="009C043D">
            <w:pPr>
              <w:jc w:val="right"/>
              <w:rPr>
                <w:rFonts w:ascii="Arial" w:hAnsi="Arial" w:cs="Arial"/>
                <w:b/>
                <w:bCs/>
                <w:sz w:val="18"/>
                <w:szCs w:val="18"/>
              </w:rPr>
            </w:pPr>
            <w:r>
              <w:rPr>
                <w:rFonts w:ascii="Arial" w:hAnsi="Arial" w:cs="Arial"/>
                <w:b/>
                <w:bCs/>
                <w:sz w:val="18"/>
                <w:szCs w:val="18"/>
              </w:rPr>
              <w:t>679</w:t>
            </w:r>
          </w:p>
        </w:tc>
        <w:tc>
          <w:tcPr>
            <w:tcW w:w="1276" w:type="dxa"/>
            <w:tcBorders>
              <w:top w:val="nil"/>
              <w:left w:val="nil"/>
              <w:bottom w:val="nil"/>
              <w:right w:val="nil"/>
            </w:tcBorders>
            <w:shd w:val="clear" w:color="auto" w:fill="auto"/>
            <w:noWrap/>
            <w:hideMark/>
          </w:tcPr>
          <w:p w:rsidR="009C043D" w:rsidRPr="009C043D" w:rsidRDefault="009C043D" w:rsidP="009C043D">
            <w:pPr>
              <w:pStyle w:val="03Bodynospace"/>
              <w:jc w:val="right"/>
            </w:pPr>
            <w:r w:rsidRPr="009C043D">
              <w:t>513</w:t>
            </w:r>
          </w:p>
        </w:tc>
      </w:tr>
      <w:tr w:rsidR="009C043D" w:rsidRPr="00D440C9" w:rsidTr="009E3AE5">
        <w:trPr>
          <w:trHeight w:val="117"/>
        </w:trPr>
        <w:tc>
          <w:tcPr>
            <w:tcW w:w="6663" w:type="dxa"/>
            <w:tcBorders>
              <w:top w:val="nil"/>
              <w:left w:val="nil"/>
              <w:bottom w:val="nil"/>
              <w:right w:val="nil"/>
            </w:tcBorders>
            <w:shd w:val="clear" w:color="auto" w:fill="auto"/>
            <w:noWrap/>
            <w:vAlign w:val="bottom"/>
            <w:hideMark/>
          </w:tcPr>
          <w:p w:rsidR="009C043D" w:rsidRPr="00D440C9" w:rsidRDefault="009C043D" w:rsidP="007B202D">
            <w:pPr>
              <w:rPr>
                <w:rFonts w:ascii="Arial" w:hAnsi="Arial" w:cs="Arial"/>
                <w:sz w:val="18"/>
                <w:szCs w:val="18"/>
                <w:lang w:val="en-GB" w:eastAsia="en-GB"/>
              </w:rPr>
            </w:pPr>
            <w:r>
              <w:rPr>
                <w:rFonts w:ascii="Arial" w:hAnsi="Arial" w:cs="Arial"/>
                <w:sz w:val="18"/>
                <w:szCs w:val="18"/>
                <w:lang w:val="en-GB" w:eastAsia="en-GB"/>
              </w:rPr>
              <w:t>- Net foreign exchange gains and financial instruments</w:t>
            </w:r>
          </w:p>
        </w:tc>
        <w:tc>
          <w:tcPr>
            <w:tcW w:w="1417" w:type="dxa"/>
            <w:tcBorders>
              <w:top w:val="nil"/>
              <w:left w:val="nil"/>
              <w:bottom w:val="nil"/>
              <w:right w:val="nil"/>
            </w:tcBorders>
            <w:shd w:val="clear" w:color="auto" w:fill="auto"/>
            <w:noWrap/>
            <w:vAlign w:val="bottom"/>
            <w:hideMark/>
          </w:tcPr>
          <w:p w:rsidR="009C043D" w:rsidRDefault="009C043D" w:rsidP="009C043D">
            <w:pPr>
              <w:jc w:val="right"/>
              <w:rPr>
                <w:rFonts w:ascii="Arial" w:hAnsi="Arial" w:cs="Arial"/>
                <w:b/>
                <w:bCs/>
                <w:sz w:val="18"/>
                <w:szCs w:val="18"/>
              </w:rPr>
            </w:pPr>
            <w:r>
              <w:rPr>
                <w:rFonts w:ascii="Arial" w:hAnsi="Arial" w:cs="Arial"/>
                <w:b/>
                <w:bCs/>
                <w:sz w:val="18"/>
                <w:szCs w:val="18"/>
              </w:rPr>
              <w:t>(185)</w:t>
            </w:r>
          </w:p>
        </w:tc>
        <w:tc>
          <w:tcPr>
            <w:tcW w:w="1276" w:type="dxa"/>
            <w:tcBorders>
              <w:top w:val="nil"/>
              <w:left w:val="nil"/>
              <w:bottom w:val="nil"/>
              <w:right w:val="nil"/>
            </w:tcBorders>
            <w:shd w:val="clear" w:color="auto" w:fill="auto"/>
            <w:noWrap/>
            <w:vAlign w:val="bottom"/>
            <w:hideMark/>
          </w:tcPr>
          <w:p w:rsidR="009C043D" w:rsidRPr="009C043D" w:rsidRDefault="009C043D" w:rsidP="009C043D">
            <w:pPr>
              <w:jc w:val="right"/>
              <w:rPr>
                <w:rFonts w:ascii="Arial" w:hAnsi="Arial" w:cs="Arial"/>
                <w:bCs/>
                <w:sz w:val="18"/>
                <w:szCs w:val="18"/>
              </w:rPr>
            </w:pPr>
            <w:r w:rsidRPr="009C043D">
              <w:rPr>
                <w:rFonts w:ascii="Arial" w:hAnsi="Arial" w:cs="Arial"/>
                <w:bCs/>
                <w:sz w:val="18"/>
                <w:szCs w:val="18"/>
              </w:rPr>
              <w:t>(120)</w:t>
            </w:r>
          </w:p>
        </w:tc>
      </w:tr>
      <w:tr w:rsidR="009C043D" w:rsidRPr="00D440C9" w:rsidTr="009E3AE5">
        <w:trPr>
          <w:trHeight w:val="190"/>
        </w:trPr>
        <w:tc>
          <w:tcPr>
            <w:tcW w:w="6663" w:type="dxa"/>
            <w:tcBorders>
              <w:top w:val="nil"/>
              <w:left w:val="nil"/>
              <w:bottom w:val="nil"/>
              <w:right w:val="nil"/>
            </w:tcBorders>
            <w:shd w:val="clear" w:color="auto" w:fill="auto"/>
            <w:noWrap/>
            <w:vAlign w:val="bottom"/>
            <w:hideMark/>
          </w:tcPr>
          <w:p w:rsidR="009C043D" w:rsidRPr="00D440C9" w:rsidRDefault="009C043D" w:rsidP="00F9571E">
            <w:pPr>
              <w:rPr>
                <w:rFonts w:ascii="Arial" w:hAnsi="Arial" w:cs="Arial"/>
                <w:sz w:val="18"/>
                <w:szCs w:val="18"/>
                <w:lang w:val="en-GB" w:eastAsia="en-GB"/>
              </w:rPr>
            </w:pPr>
            <w:r w:rsidRPr="00D440C9">
              <w:rPr>
                <w:rFonts w:ascii="Arial" w:hAnsi="Arial" w:cs="Arial"/>
                <w:sz w:val="18"/>
                <w:szCs w:val="18"/>
                <w:lang w:val="en-GB" w:eastAsia="en-GB"/>
              </w:rPr>
              <w:t>Changes in working capital:</w:t>
            </w:r>
          </w:p>
        </w:tc>
        <w:tc>
          <w:tcPr>
            <w:tcW w:w="1417" w:type="dxa"/>
            <w:tcBorders>
              <w:top w:val="nil"/>
              <w:left w:val="nil"/>
              <w:bottom w:val="nil"/>
              <w:right w:val="nil"/>
            </w:tcBorders>
            <w:shd w:val="clear" w:color="auto" w:fill="auto"/>
            <w:noWrap/>
            <w:vAlign w:val="bottom"/>
            <w:hideMark/>
          </w:tcPr>
          <w:p w:rsidR="009C043D" w:rsidRDefault="009C043D" w:rsidP="009C043D">
            <w:pPr>
              <w:rPr>
                <w:rFonts w:ascii="Arial" w:hAnsi="Arial" w:cs="Arial"/>
                <w:b/>
                <w:bCs/>
                <w:sz w:val="18"/>
                <w:szCs w:val="18"/>
              </w:rPr>
            </w:pPr>
          </w:p>
        </w:tc>
        <w:tc>
          <w:tcPr>
            <w:tcW w:w="1276" w:type="dxa"/>
            <w:tcBorders>
              <w:top w:val="nil"/>
              <w:left w:val="nil"/>
              <w:bottom w:val="nil"/>
              <w:right w:val="nil"/>
            </w:tcBorders>
            <w:shd w:val="clear" w:color="auto" w:fill="auto"/>
            <w:noWrap/>
            <w:vAlign w:val="bottom"/>
            <w:hideMark/>
          </w:tcPr>
          <w:p w:rsidR="009C043D" w:rsidRPr="009C043D" w:rsidRDefault="009C043D" w:rsidP="009C043D">
            <w:pPr>
              <w:rPr>
                <w:rFonts w:ascii="Arial" w:hAnsi="Arial" w:cs="Arial"/>
                <w:bCs/>
                <w:sz w:val="18"/>
                <w:szCs w:val="18"/>
              </w:rPr>
            </w:pPr>
          </w:p>
        </w:tc>
      </w:tr>
      <w:tr w:rsidR="009C043D" w:rsidRPr="00D440C9" w:rsidTr="009E3AE5">
        <w:trPr>
          <w:trHeight w:val="137"/>
        </w:trPr>
        <w:tc>
          <w:tcPr>
            <w:tcW w:w="6663" w:type="dxa"/>
            <w:tcBorders>
              <w:top w:val="nil"/>
              <w:left w:val="nil"/>
              <w:bottom w:val="nil"/>
              <w:right w:val="nil"/>
            </w:tcBorders>
            <w:shd w:val="clear" w:color="auto" w:fill="auto"/>
            <w:noWrap/>
            <w:vAlign w:val="bottom"/>
            <w:hideMark/>
          </w:tcPr>
          <w:p w:rsidR="009C043D" w:rsidRPr="00D440C9" w:rsidRDefault="009C043D" w:rsidP="00F9571E">
            <w:pPr>
              <w:rPr>
                <w:rFonts w:ascii="Arial" w:hAnsi="Arial" w:cs="Arial"/>
                <w:sz w:val="18"/>
                <w:szCs w:val="18"/>
                <w:lang w:val="en-GB" w:eastAsia="en-GB"/>
              </w:rPr>
            </w:pPr>
            <w:r w:rsidRPr="00D440C9">
              <w:rPr>
                <w:rFonts w:ascii="Arial" w:hAnsi="Arial" w:cs="Arial"/>
                <w:sz w:val="18"/>
                <w:szCs w:val="18"/>
                <w:lang w:val="en-GB" w:eastAsia="en-GB"/>
              </w:rPr>
              <w:t>- Trade and other receivables</w:t>
            </w:r>
          </w:p>
        </w:tc>
        <w:tc>
          <w:tcPr>
            <w:tcW w:w="1417" w:type="dxa"/>
            <w:tcBorders>
              <w:top w:val="nil"/>
              <w:left w:val="nil"/>
              <w:bottom w:val="nil"/>
              <w:right w:val="nil"/>
            </w:tcBorders>
            <w:shd w:val="clear" w:color="auto" w:fill="auto"/>
            <w:noWrap/>
            <w:vAlign w:val="bottom"/>
            <w:hideMark/>
          </w:tcPr>
          <w:p w:rsidR="009C043D" w:rsidRDefault="009C043D" w:rsidP="00541E96">
            <w:pPr>
              <w:jc w:val="right"/>
              <w:rPr>
                <w:rFonts w:ascii="Arial" w:hAnsi="Arial" w:cs="Arial"/>
                <w:b/>
                <w:bCs/>
                <w:sz w:val="18"/>
                <w:szCs w:val="18"/>
              </w:rPr>
            </w:pPr>
            <w:r>
              <w:rPr>
                <w:rFonts w:ascii="Arial" w:hAnsi="Arial" w:cs="Arial"/>
                <w:b/>
                <w:bCs/>
                <w:sz w:val="18"/>
                <w:szCs w:val="18"/>
              </w:rPr>
              <w:t>3,45</w:t>
            </w:r>
            <w:r w:rsidR="00541E96">
              <w:rPr>
                <w:rFonts w:ascii="Arial" w:hAnsi="Arial" w:cs="Arial"/>
                <w:b/>
                <w:bCs/>
                <w:sz w:val="18"/>
                <w:szCs w:val="18"/>
              </w:rPr>
              <w:t>8</w:t>
            </w:r>
          </w:p>
        </w:tc>
        <w:tc>
          <w:tcPr>
            <w:tcW w:w="1276" w:type="dxa"/>
            <w:tcBorders>
              <w:top w:val="nil"/>
              <w:left w:val="nil"/>
              <w:bottom w:val="nil"/>
              <w:right w:val="nil"/>
            </w:tcBorders>
            <w:shd w:val="clear" w:color="auto" w:fill="auto"/>
            <w:noWrap/>
            <w:vAlign w:val="bottom"/>
            <w:hideMark/>
          </w:tcPr>
          <w:p w:rsidR="009C043D" w:rsidRPr="009C043D" w:rsidRDefault="009C043D" w:rsidP="009C043D">
            <w:pPr>
              <w:jc w:val="right"/>
              <w:rPr>
                <w:rFonts w:ascii="Arial" w:hAnsi="Arial" w:cs="Arial"/>
                <w:bCs/>
                <w:sz w:val="18"/>
                <w:szCs w:val="18"/>
              </w:rPr>
            </w:pPr>
            <w:r w:rsidRPr="009C043D">
              <w:rPr>
                <w:rFonts w:ascii="Arial" w:hAnsi="Arial" w:cs="Arial"/>
                <w:bCs/>
                <w:sz w:val="18"/>
                <w:szCs w:val="18"/>
              </w:rPr>
              <w:t>(3,305)</w:t>
            </w:r>
          </w:p>
        </w:tc>
      </w:tr>
      <w:tr w:rsidR="009C043D" w:rsidRPr="00D440C9" w:rsidTr="009E3AE5">
        <w:trPr>
          <w:trHeight w:val="77"/>
        </w:trPr>
        <w:tc>
          <w:tcPr>
            <w:tcW w:w="6663" w:type="dxa"/>
            <w:tcBorders>
              <w:top w:val="nil"/>
              <w:left w:val="nil"/>
              <w:bottom w:val="nil"/>
              <w:right w:val="nil"/>
            </w:tcBorders>
            <w:shd w:val="clear" w:color="auto" w:fill="auto"/>
            <w:noWrap/>
            <w:vAlign w:val="bottom"/>
            <w:hideMark/>
          </w:tcPr>
          <w:p w:rsidR="009C043D" w:rsidRPr="00D440C9" w:rsidRDefault="009C043D" w:rsidP="00F9571E">
            <w:pPr>
              <w:rPr>
                <w:rFonts w:ascii="Arial" w:hAnsi="Arial" w:cs="Arial"/>
                <w:sz w:val="18"/>
                <w:szCs w:val="18"/>
                <w:lang w:val="en-GB" w:eastAsia="en-GB"/>
              </w:rPr>
            </w:pPr>
            <w:r w:rsidRPr="00D440C9">
              <w:rPr>
                <w:rFonts w:ascii="Arial" w:hAnsi="Arial" w:cs="Arial"/>
                <w:sz w:val="18"/>
                <w:szCs w:val="18"/>
                <w:lang w:val="en-GB" w:eastAsia="en-GB"/>
              </w:rPr>
              <w:t>- Trade and other payables</w:t>
            </w:r>
          </w:p>
        </w:tc>
        <w:tc>
          <w:tcPr>
            <w:tcW w:w="1417" w:type="dxa"/>
            <w:tcBorders>
              <w:top w:val="nil"/>
              <w:left w:val="nil"/>
              <w:bottom w:val="nil"/>
              <w:right w:val="nil"/>
            </w:tcBorders>
            <w:shd w:val="clear" w:color="auto" w:fill="auto"/>
            <w:noWrap/>
            <w:vAlign w:val="bottom"/>
            <w:hideMark/>
          </w:tcPr>
          <w:p w:rsidR="009C043D" w:rsidRDefault="009C043D" w:rsidP="00541E96">
            <w:pPr>
              <w:jc w:val="right"/>
              <w:rPr>
                <w:rFonts w:ascii="Arial" w:hAnsi="Arial" w:cs="Arial"/>
                <w:b/>
                <w:bCs/>
                <w:sz w:val="18"/>
                <w:szCs w:val="18"/>
              </w:rPr>
            </w:pPr>
            <w:r>
              <w:rPr>
                <w:rFonts w:ascii="Arial" w:hAnsi="Arial" w:cs="Arial"/>
                <w:b/>
                <w:bCs/>
                <w:sz w:val="18"/>
                <w:szCs w:val="18"/>
              </w:rPr>
              <w:t>(7</w:t>
            </w:r>
            <w:r w:rsidR="00541E96">
              <w:rPr>
                <w:rFonts w:ascii="Arial" w:hAnsi="Arial" w:cs="Arial"/>
                <w:b/>
                <w:bCs/>
                <w:sz w:val="18"/>
                <w:szCs w:val="18"/>
              </w:rPr>
              <w:t>69</w:t>
            </w:r>
            <w:r>
              <w:rPr>
                <w:rFonts w:ascii="Arial" w:hAnsi="Arial" w:cs="Arial"/>
                <w:b/>
                <w:bCs/>
                <w:sz w:val="18"/>
                <w:szCs w:val="18"/>
              </w:rPr>
              <w:t>)</w:t>
            </w:r>
          </w:p>
        </w:tc>
        <w:tc>
          <w:tcPr>
            <w:tcW w:w="1276" w:type="dxa"/>
            <w:tcBorders>
              <w:top w:val="nil"/>
              <w:left w:val="nil"/>
              <w:bottom w:val="nil"/>
              <w:right w:val="nil"/>
            </w:tcBorders>
            <w:shd w:val="clear" w:color="auto" w:fill="auto"/>
            <w:noWrap/>
            <w:vAlign w:val="bottom"/>
            <w:hideMark/>
          </w:tcPr>
          <w:p w:rsidR="009C043D" w:rsidRPr="009C043D" w:rsidRDefault="009C043D" w:rsidP="009C043D">
            <w:pPr>
              <w:jc w:val="right"/>
              <w:rPr>
                <w:rFonts w:ascii="Arial" w:hAnsi="Arial" w:cs="Arial"/>
                <w:bCs/>
                <w:sz w:val="18"/>
                <w:szCs w:val="18"/>
              </w:rPr>
            </w:pPr>
            <w:r w:rsidRPr="009C043D">
              <w:rPr>
                <w:rFonts w:ascii="Arial" w:hAnsi="Arial" w:cs="Arial"/>
                <w:bCs/>
                <w:sz w:val="18"/>
                <w:szCs w:val="18"/>
              </w:rPr>
              <w:t>(3,985)</w:t>
            </w:r>
          </w:p>
        </w:tc>
      </w:tr>
      <w:tr w:rsidR="009C043D" w:rsidRPr="00D440C9" w:rsidTr="009E3AE5">
        <w:trPr>
          <w:trHeight w:val="142"/>
        </w:trPr>
        <w:tc>
          <w:tcPr>
            <w:tcW w:w="6663" w:type="dxa"/>
            <w:tcBorders>
              <w:top w:val="nil"/>
              <w:left w:val="nil"/>
              <w:bottom w:val="nil"/>
              <w:right w:val="nil"/>
            </w:tcBorders>
            <w:shd w:val="clear" w:color="auto" w:fill="auto"/>
            <w:noWrap/>
            <w:vAlign w:val="bottom"/>
            <w:hideMark/>
          </w:tcPr>
          <w:p w:rsidR="009C043D" w:rsidRPr="00D440C9" w:rsidRDefault="009C043D" w:rsidP="00F9571E">
            <w:pPr>
              <w:rPr>
                <w:rFonts w:ascii="Arial" w:hAnsi="Arial" w:cs="Arial"/>
                <w:sz w:val="18"/>
                <w:szCs w:val="18"/>
                <w:lang w:val="en-GB" w:eastAsia="en-GB"/>
              </w:rPr>
            </w:pPr>
            <w:r w:rsidRPr="00D440C9">
              <w:rPr>
                <w:rFonts w:ascii="Arial" w:hAnsi="Arial" w:cs="Arial"/>
                <w:sz w:val="18"/>
                <w:szCs w:val="18"/>
                <w:lang w:val="en-GB" w:eastAsia="en-GB"/>
              </w:rPr>
              <w:t>- Provisions</w:t>
            </w:r>
          </w:p>
        </w:tc>
        <w:tc>
          <w:tcPr>
            <w:tcW w:w="1417" w:type="dxa"/>
            <w:tcBorders>
              <w:top w:val="nil"/>
              <w:left w:val="nil"/>
              <w:bottom w:val="nil"/>
              <w:right w:val="nil"/>
            </w:tcBorders>
            <w:shd w:val="clear" w:color="auto" w:fill="auto"/>
            <w:noWrap/>
            <w:vAlign w:val="bottom"/>
            <w:hideMark/>
          </w:tcPr>
          <w:p w:rsidR="009C043D" w:rsidRDefault="009C043D" w:rsidP="009C043D">
            <w:pPr>
              <w:jc w:val="right"/>
              <w:rPr>
                <w:rFonts w:ascii="Arial" w:hAnsi="Arial" w:cs="Arial"/>
                <w:b/>
                <w:bCs/>
                <w:sz w:val="18"/>
                <w:szCs w:val="18"/>
              </w:rPr>
            </w:pPr>
            <w:r>
              <w:rPr>
                <w:rFonts w:ascii="Arial" w:hAnsi="Arial" w:cs="Arial"/>
                <w:b/>
                <w:bCs/>
                <w:sz w:val="18"/>
                <w:szCs w:val="18"/>
              </w:rPr>
              <w:t>91</w:t>
            </w:r>
          </w:p>
        </w:tc>
        <w:tc>
          <w:tcPr>
            <w:tcW w:w="1276" w:type="dxa"/>
            <w:tcBorders>
              <w:top w:val="nil"/>
              <w:left w:val="nil"/>
              <w:bottom w:val="nil"/>
              <w:right w:val="nil"/>
            </w:tcBorders>
            <w:shd w:val="clear" w:color="auto" w:fill="auto"/>
            <w:noWrap/>
            <w:vAlign w:val="bottom"/>
            <w:hideMark/>
          </w:tcPr>
          <w:p w:rsidR="009C043D" w:rsidRPr="009C043D" w:rsidRDefault="009C043D" w:rsidP="009C043D">
            <w:pPr>
              <w:jc w:val="right"/>
              <w:rPr>
                <w:rFonts w:ascii="Arial" w:hAnsi="Arial" w:cs="Arial"/>
                <w:bCs/>
                <w:sz w:val="18"/>
                <w:szCs w:val="18"/>
              </w:rPr>
            </w:pPr>
            <w:r w:rsidRPr="009C043D">
              <w:rPr>
                <w:rFonts w:ascii="Arial" w:hAnsi="Arial" w:cs="Arial"/>
                <w:bCs/>
                <w:sz w:val="18"/>
                <w:szCs w:val="18"/>
              </w:rPr>
              <w:t>172</w:t>
            </w:r>
          </w:p>
        </w:tc>
      </w:tr>
      <w:tr w:rsidR="009C043D" w:rsidRPr="00D440C9" w:rsidTr="009E3AE5">
        <w:trPr>
          <w:trHeight w:val="67"/>
        </w:trPr>
        <w:tc>
          <w:tcPr>
            <w:tcW w:w="6663" w:type="dxa"/>
            <w:tcBorders>
              <w:top w:val="single" w:sz="4" w:space="0" w:color="auto"/>
              <w:left w:val="nil"/>
              <w:bottom w:val="single" w:sz="8" w:space="0" w:color="auto"/>
              <w:right w:val="nil"/>
            </w:tcBorders>
            <w:shd w:val="clear" w:color="auto" w:fill="auto"/>
            <w:noWrap/>
            <w:vAlign w:val="bottom"/>
            <w:hideMark/>
          </w:tcPr>
          <w:p w:rsidR="009C043D" w:rsidRPr="00D440C9" w:rsidRDefault="009C043D" w:rsidP="00F9571E">
            <w:pPr>
              <w:rPr>
                <w:rFonts w:ascii="Arial" w:hAnsi="Arial" w:cs="Arial"/>
                <w:sz w:val="18"/>
                <w:szCs w:val="18"/>
                <w:lang w:val="en-GB" w:eastAsia="en-GB"/>
              </w:rPr>
            </w:pPr>
            <w:r w:rsidRPr="00D440C9">
              <w:rPr>
                <w:rFonts w:ascii="Arial" w:hAnsi="Arial" w:cs="Arial"/>
                <w:sz w:val="18"/>
                <w:szCs w:val="18"/>
                <w:lang w:val="en-GB" w:eastAsia="en-GB"/>
              </w:rPr>
              <w:t>Cash generated from operations</w:t>
            </w:r>
          </w:p>
        </w:tc>
        <w:tc>
          <w:tcPr>
            <w:tcW w:w="1417" w:type="dxa"/>
            <w:tcBorders>
              <w:top w:val="single" w:sz="4" w:space="0" w:color="auto"/>
              <w:left w:val="nil"/>
              <w:bottom w:val="single" w:sz="8" w:space="0" w:color="auto"/>
              <w:right w:val="nil"/>
            </w:tcBorders>
            <w:shd w:val="clear" w:color="auto" w:fill="auto"/>
            <w:noWrap/>
            <w:vAlign w:val="bottom"/>
            <w:hideMark/>
          </w:tcPr>
          <w:p w:rsidR="009C043D" w:rsidRDefault="00541E96" w:rsidP="009C043D">
            <w:pPr>
              <w:jc w:val="right"/>
              <w:rPr>
                <w:rFonts w:ascii="Arial" w:hAnsi="Arial" w:cs="Arial"/>
                <w:b/>
                <w:bCs/>
                <w:sz w:val="18"/>
                <w:szCs w:val="18"/>
              </w:rPr>
            </w:pPr>
            <w:r>
              <w:rPr>
                <w:rFonts w:ascii="Arial" w:hAnsi="Arial" w:cs="Arial"/>
                <w:b/>
                <w:bCs/>
                <w:sz w:val="18"/>
                <w:szCs w:val="18"/>
              </w:rPr>
              <w:t>14,996</w:t>
            </w:r>
          </w:p>
        </w:tc>
        <w:tc>
          <w:tcPr>
            <w:tcW w:w="1276" w:type="dxa"/>
            <w:tcBorders>
              <w:top w:val="single" w:sz="4" w:space="0" w:color="auto"/>
              <w:left w:val="nil"/>
              <w:bottom w:val="single" w:sz="8" w:space="0" w:color="auto"/>
              <w:right w:val="nil"/>
            </w:tcBorders>
            <w:shd w:val="clear" w:color="auto" w:fill="auto"/>
            <w:noWrap/>
            <w:vAlign w:val="bottom"/>
            <w:hideMark/>
          </w:tcPr>
          <w:p w:rsidR="009C043D" w:rsidRPr="009C043D" w:rsidRDefault="009C043D" w:rsidP="009C043D">
            <w:pPr>
              <w:jc w:val="right"/>
              <w:rPr>
                <w:rFonts w:ascii="Arial" w:hAnsi="Arial" w:cs="Arial"/>
                <w:bCs/>
                <w:sz w:val="18"/>
                <w:szCs w:val="18"/>
              </w:rPr>
            </w:pPr>
            <w:r w:rsidRPr="009C043D">
              <w:rPr>
                <w:rFonts w:ascii="Arial" w:hAnsi="Arial" w:cs="Arial"/>
                <w:bCs/>
                <w:sz w:val="18"/>
                <w:szCs w:val="18"/>
              </w:rPr>
              <w:t>5,034</w:t>
            </w:r>
          </w:p>
        </w:tc>
      </w:tr>
    </w:tbl>
    <w:p w:rsidR="009377B0" w:rsidRPr="009C043D" w:rsidRDefault="009377B0" w:rsidP="00E170A2">
      <w:pPr>
        <w:spacing w:after="180"/>
        <w:jc w:val="both"/>
        <w:rPr>
          <w:rFonts w:ascii="Arial" w:hAnsi="Arial" w:cs="Arial"/>
          <w:bCs/>
          <w:sz w:val="20"/>
          <w:lang w:val="en-GB"/>
        </w:rPr>
      </w:pPr>
    </w:p>
    <w:sectPr w:rsidR="009377B0" w:rsidRPr="009C043D" w:rsidSect="00F70952">
      <w:footerReference w:type="default" r:id="rId12"/>
      <w:footerReference w:type="first" r:id="rId13"/>
      <w:pgSz w:w="11906" w:h="16838" w:code="9"/>
      <w:pgMar w:top="1531" w:right="1134" w:bottom="323"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AC" w:rsidRDefault="00510BAC">
      <w:r>
        <w:separator/>
      </w:r>
    </w:p>
  </w:endnote>
  <w:endnote w:type="continuationSeparator" w:id="0">
    <w:p w:rsidR="00510BAC" w:rsidRDefault="0051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HelveticaNeueLTStd-B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HelveticaNeueLTStd-Hv">
    <w:panose1 w:val="00000000000000000000"/>
    <w:charset w:val="00"/>
    <w:family w:val="swiss"/>
    <w:notTrueType/>
    <w:pitch w:val="default"/>
    <w:sig w:usb0="00000003" w:usb1="00000000" w:usb2="00000000" w:usb3="00000000" w:csb0="00000001" w:csb1="00000000"/>
  </w:font>
  <w:font w:name="HelveticaNeueLTStd-Lt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AC" w:rsidRDefault="00510BAC">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824D2A">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AC" w:rsidRDefault="00510B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D2A">
      <w:rPr>
        <w:rStyle w:val="PageNumber"/>
        <w:noProof/>
      </w:rPr>
      <w:t>1</w:t>
    </w:r>
    <w:r>
      <w:rPr>
        <w:rStyle w:val="PageNumber"/>
      </w:rPr>
      <w:fldChar w:fldCharType="end"/>
    </w:r>
  </w:p>
  <w:p w:rsidR="00510BAC" w:rsidRDefault="00510BA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AC" w:rsidRDefault="00510BAC">
      <w:r>
        <w:separator/>
      </w:r>
    </w:p>
  </w:footnote>
  <w:footnote w:type="continuationSeparator" w:id="0">
    <w:p w:rsidR="00510BAC" w:rsidRDefault="00510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6E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55777E5"/>
    <w:multiLevelType w:val="multilevel"/>
    <w:tmpl w:val="4E1CEA54"/>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857290"/>
    <w:multiLevelType w:val="hybridMultilevel"/>
    <w:tmpl w:val="7A7EB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B207C0"/>
    <w:multiLevelType w:val="hybridMultilevel"/>
    <w:tmpl w:val="0178A40E"/>
    <w:lvl w:ilvl="0" w:tplc="0409001B">
      <w:start w:val="1"/>
      <w:numFmt w:val="lowerRoman"/>
      <w:lvlText w:val="%1."/>
      <w:lvlJc w:val="righ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113A5"/>
    <w:multiLevelType w:val="singleLevel"/>
    <w:tmpl w:val="A26E077C"/>
    <w:lvl w:ilvl="0">
      <w:start w:val="1"/>
      <w:numFmt w:val="decimal"/>
      <w:lvlText w:val="%1"/>
      <w:lvlJc w:val="left"/>
      <w:pPr>
        <w:tabs>
          <w:tab w:val="num" w:pos="435"/>
        </w:tabs>
        <w:ind w:left="435" w:hanging="435"/>
      </w:pPr>
      <w:rPr>
        <w:rFonts w:hint="default"/>
      </w:rPr>
    </w:lvl>
  </w:abstractNum>
  <w:abstractNum w:abstractNumId="5">
    <w:nsid w:val="121D0DDE"/>
    <w:multiLevelType w:val="multilevel"/>
    <w:tmpl w:val="ECE0EFE4"/>
    <w:lvl w:ilvl="0">
      <w:start w:val="1"/>
      <w:numFmt w:val="lowerLetter"/>
      <w:lvlText w:val="a)"/>
      <w:lvlJc w:val="left"/>
      <w:pPr>
        <w:tabs>
          <w:tab w:val="num" w:pos="360"/>
        </w:tabs>
        <w:ind w:left="360" w:hanging="360"/>
      </w:pPr>
      <w:rPr>
        <w:rFonts w:ascii="Arial" w:hAnsi="Arial" w:hint="default"/>
        <w:b w:val="0"/>
        <w:i w:val="0"/>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2EC27EE"/>
    <w:multiLevelType w:val="hybridMultilevel"/>
    <w:tmpl w:val="3184F2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B721281"/>
    <w:multiLevelType w:val="hybridMultilevel"/>
    <w:tmpl w:val="3A60D3DC"/>
    <w:lvl w:ilvl="0" w:tplc="42A29E5A">
      <w:start w:val="1"/>
      <w:numFmt w:val="lowerLetter"/>
      <w:lvlText w:val="%1)"/>
      <w:lvlJc w:val="left"/>
      <w:pPr>
        <w:tabs>
          <w:tab w:val="num" w:pos="720"/>
        </w:tabs>
        <w:ind w:left="720" w:hanging="360"/>
      </w:pPr>
      <w:rPr>
        <w:rFonts w:ascii="Arial" w:hAnsi="Arial"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AB4A25"/>
    <w:multiLevelType w:val="hybridMultilevel"/>
    <w:tmpl w:val="4CD84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8154DE"/>
    <w:multiLevelType w:val="hybridMultilevel"/>
    <w:tmpl w:val="12FEE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81BE4"/>
    <w:multiLevelType w:val="hybridMultilevel"/>
    <w:tmpl w:val="4078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8421BA"/>
    <w:multiLevelType w:val="hybridMultilevel"/>
    <w:tmpl w:val="38384182"/>
    <w:lvl w:ilvl="0" w:tplc="797062AC">
      <w:start w:val="1"/>
      <w:numFmt w:val="bullet"/>
      <w:lvlText w:val=""/>
      <w:lvlJc w:val="left"/>
      <w:pPr>
        <w:tabs>
          <w:tab w:val="num" w:pos="720"/>
        </w:tabs>
        <w:ind w:left="720" w:hanging="360"/>
      </w:pPr>
      <w:rPr>
        <w:rFonts w:ascii="Symbol" w:hAnsi="Symbol" w:hint="default"/>
        <w:sz w:val="20"/>
      </w:rPr>
    </w:lvl>
    <w:lvl w:ilvl="1" w:tplc="E926F2DA" w:tentative="1">
      <w:start w:val="1"/>
      <w:numFmt w:val="bullet"/>
      <w:lvlText w:val=""/>
      <w:lvlJc w:val="left"/>
      <w:pPr>
        <w:tabs>
          <w:tab w:val="num" w:pos="1440"/>
        </w:tabs>
        <w:ind w:left="1440" w:hanging="360"/>
      </w:pPr>
      <w:rPr>
        <w:rFonts w:ascii="Symbol" w:hAnsi="Symbol" w:hint="default"/>
        <w:sz w:val="20"/>
      </w:rPr>
    </w:lvl>
    <w:lvl w:ilvl="2" w:tplc="51A0BFFC" w:tentative="1">
      <w:start w:val="1"/>
      <w:numFmt w:val="bullet"/>
      <w:lvlText w:val=""/>
      <w:lvlJc w:val="left"/>
      <w:pPr>
        <w:tabs>
          <w:tab w:val="num" w:pos="2160"/>
        </w:tabs>
        <w:ind w:left="2160" w:hanging="360"/>
      </w:pPr>
      <w:rPr>
        <w:rFonts w:ascii="Symbol" w:hAnsi="Symbol" w:hint="default"/>
        <w:sz w:val="20"/>
      </w:rPr>
    </w:lvl>
    <w:lvl w:ilvl="3" w:tplc="D4EA9450" w:tentative="1">
      <w:start w:val="1"/>
      <w:numFmt w:val="bullet"/>
      <w:lvlText w:val=""/>
      <w:lvlJc w:val="left"/>
      <w:pPr>
        <w:tabs>
          <w:tab w:val="num" w:pos="2880"/>
        </w:tabs>
        <w:ind w:left="2880" w:hanging="360"/>
      </w:pPr>
      <w:rPr>
        <w:rFonts w:ascii="Symbol" w:hAnsi="Symbol" w:hint="default"/>
        <w:sz w:val="20"/>
      </w:rPr>
    </w:lvl>
    <w:lvl w:ilvl="4" w:tplc="26AAB4F2" w:tentative="1">
      <w:start w:val="1"/>
      <w:numFmt w:val="bullet"/>
      <w:lvlText w:val=""/>
      <w:lvlJc w:val="left"/>
      <w:pPr>
        <w:tabs>
          <w:tab w:val="num" w:pos="3600"/>
        </w:tabs>
        <w:ind w:left="3600" w:hanging="360"/>
      </w:pPr>
      <w:rPr>
        <w:rFonts w:ascii="Symbol" w:hAnsi="Symbol" w:hint="default"/>
        <w:sz w:val="20"/>
      </w:rPr>
    </w:lvl>
    <w:lvl w:ilvl="5" w:tplc="60343C60" w:tentative="1">
      <w:start w:val="1"/>
      <w:numFmt w:val="bullet"/>
      <w:lvlText w:val=""/>
      <w:lvlJc w:val="left"/>
      <w:pPr>
        <w:tabs>
          <w:tab w:val="num" w:pos="4320"/>
        </w:tabs>
        <w:ind w:left="4320" w:hanging="360"/>
      </w:pPr>
      <w:rPr>
        <w:rFonts w:ascii="Symbol" w:hAnsi="Symbol" w:hint="default"/>
        <w:sz w:val="20"/>
      </w:rPr>
    </w:lvl>
    <w:lvl w:ilvl="6" w:tplc="9A620CF6" w:tentative="1">
      <w:start w:val="1"/>
      <w:numFmt w:val="bullet"/>
      <w:lvlText w:val=""/>
      <w:lvlJc w:val="left"/>
      <w:pPr>
        <w:tabs>
          <w:tab w:val="num" w:pos="5040"/>
        </w:tabs>
        <w:ind w:left="5040" w:hanging="360"/>
      </w:pPr>
      <w:rPr>
        <w:rFonts w:ascii="Symbol" w:hAnsi="Symbol" w:hint="default"/>
        <w:sz w:val="20"/>
      </w:rPr>
    </w:lvl>
    <w:lvl w:ilvl="7" w:tplc="8D101520" w:tentative="1">
      <w:start w:val="1"/>
      <w:numFmt w:val="bullet"/>
      <w:lvlText w:val=""/>
      <w:lvlJc w:val="left"/>
      <w:pPr>
        <w:tabs>
          <w:tab w:val="num" w:pos="5760"/>
        </w:tabs>
        <w:ind w:left="5760" w:hanging="360"/>
      </w:pPr>
      <w:rPr>
        <w:rFonts w:ascii="Symbol" w:hAnsi="Symbol" w:hint="default"/>
        <w:sz w:val="20"/>
      </w:rPr>
    </w:lvl>
    <w:lvl w:ilvl="8" w:tplc="DA323F38" w:tentative="1">
      <w:start w:val="1"/>
      <w:numFmt w:val="bullet"/>
      <w:lvlText w:val=""/>
      <w:lvlJc w:val="left"/>
      <w:pPr>
        <w:tabs>
          <w:tab w:val="num" w:pos="6480"/>
        </w:tabs>
        <w:ind w:left="6480" w:hanging="360"/>
      </w:pPr>
      <w:rPr>
        <w:rFonts w:ascii="Symbol" w:hAnsi="Symbol" w:hint="default"/>
        <w:sz w:val="20"/>
      </w:rPr>
    </w:lvl>
  </w:abstractNum>
  <w:abstractNum w:abstractNumId="12">
    <w:nsid w:val="32BA3F5B"/>
    <w:multiLevelType w:val="multilevel"/>
    <w:tmpl w:val="14A44940"/>
    <w:lvl w:ilvl="0">
      <w:start w:val="1"/>
      <w:numFmt w:val="lowerRoman"/>
      <w:lvlText w:val="%1)"/>
      <w:lvlJc w:val="left"/>
      <w:pPr>
        <w:tabs>
          <w:tab w:val="num" w:pos="720"/>
        </w:tabs>
        <w:ind w:left="360" w:hanging="360"/>
      </w:pPr>
      <w:rPr>
        <w:rFonts w:ascii="Arial" w:hAnsi="Arial" w:hint="default"/>
        <w:b w:val="0"/>
        <w:i w:val="0"/>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34C1B19"/>
    <w:multiLevelType w:val="hybridMultilevel"/>
    <w:tmpl w:val="FF40FE66"/>
    <w:lvl w:ilvl="0" w:tplc="E23CBB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614659"/>
    <w:multiLevelType w:val="multilevel"/>
    <w:tmpl w:val="0A26A8B2"/>
    <w:lvl w:ilvl="0">
      <w:start w:val="1"/>
      <w:numFmt w:val="lowerLetter"/>
      <w:lvlText w:val="%1)"/>
      <w:lvlJc w:val="left"/>
      <w:pPr>
        <w:tabs>
          <w:tab w:val="num" w:pos="360"/>
        </w:tabs>
        <w:ind w:left="360" w:hanging="360"/>
      </w:pPr>
      <w:rPr>
        <w:rFonts w:ascii="Arial" w:hAnsi="Arial" w:hint="default"/>
        <w:b/>
        <w:i w:val="0"/>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4D76249"/>
    <w:multiLevelType w:val="hybridMultilevel"/>
    <w:tmpl w:val="923CA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A538F9"/>
    <w:multiLevelType w:val="hybridMultilevel"/>
    <w:tmpl w:val="C3B8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1B3A08"/>
    <w:multiLevelType w:val="hybridMultilevel"/>
    <w:tmpl w:val="A52275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A473FF0"/>
    <w:multiLevelType w:val="multilevel"/>
    <w:tmpl w:val="8820D81A"/>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1F7347A"/>
    <w:multiLevelType w:val="hybridMultilevel"/>
    <w:tmpl w:val="CDE21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E138E4"/>
    <w:multiLevelType w:val="hybridMultilevel"/>
    <w:tmpl w:val="70607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0F7B69"/>
    <w:multiLevelType w:val="multilevel"/>
    <w:tmpl w:val="65D06AC8"/>
    <w:lvl w:ilvl="0">
      <w:start w:val="1"/>
      <w:numFmt w:val="lowerLetter"/>
      <w:lvlText w:val="%1)"/>
      <w:lvlJc w:val="left"/>
      <w:pPr>
        <w:tabs>
          <w:tab w:val="num" w:pos="360"/>
        </w:tabs>
        <w:ind w:left="360" w:hanging="360"/>
      </w:pPr>
      <w:rPr>
        <w:rFonts w:ascii="Arial" w:hAnsi="Arial" w:hint="default"/>
        <w:b/>
        <w:i w:val="0"/>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F1C757F"/>
    <w:multiLevelType w:val="hybridMultilevel"/>
    <w:tmpl w:val="4F386D40"/>
    <w:lvl w:ilvl="0" w:tplc="9140E1CE">
      <w:start w:val="2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65D40A5"/>
    <w:multiLevelType w:val="multilevel"/>
    <w:tmpl w:val="4E1CEA54"/>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C8B6DBB"/>
    <w:multiLevelType w:val="hybridMultilevel"/>
    <w:tmpl w:val="447A5AA0"/>
    <w:lvl w:ilvl="0" w:tplc="16DEA560">
      <w:start w:val="1"/>
      <w:numFmt w:val="lowerLetter"/>
      <w:lvlText w:val="%1)"/>
      <w:lvlJc w:val="left"/>
      <w:pPr>
        <w:tabs>
          <w:tab w:val="num" w:pos="720"/>
        </w:tabs>
        <w:ind w:left="720" w:hanging="360"/>
      </w:pPr>
      <w:rPr>
        <w:rFonts w:ascii="Arial" w:hAnsi="Arial"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6F4A3D"/>
    <w:multiLevelType w:val="multilevel"/>
    <w:tmpl w:val="ECE0EFE4"/>
    <w:lvl w:ilvl="0">
      <w:start w:val="1"/>
      <w:numFmt w:val="lowerLetter"/>
      <w:lvlText w:val="a)"/>
      <w:lvlJc w:val="left"/>
      <w:pPr>
        <w:tabs>
          <w:tab w:val="num" w:pos="360"/>
        </w:tabs>
        <w:ind w:left="360" w:hanging="360"/>
      </w:pPr>
      <w:rPr>
        <w:rFonts w:ascii="Arial" w:hAnsi="Arial" w:hint="default"/>
        <w:b w:val="0"/>
        <w:i w:val="0"/>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0110440"/>
    <w:multiLevelType w:val="hybridMultilevel"/>
    <w:tmpl w:val="8EC6DBF2"/>
    <w:lvl w:ilvl="0" w:tplc="8A44DB5C">
      <w:start w:val="1"/>
      <w:numFmt w:val="bullet"/>
      <w:lvlText w:val=""/>
      <w:lvlJc w:val="left"/>
      <w:pPr>
        <w:tabs>
          <w:tab w:val="num" w:pos="720"/>
        </w:tabs>
        <w:ind w:left="720" w:hanging="360"/>
      </w:pPr>
      <w:rPr>
        <w:rFonts w:ascii="Symbol" w:hAnsi="Symbol" w:hint="default"/>
        <w:sz w:val="20"/>
      </w:rPr>
    </w:lvl>
    <w:lvl w:ilvl="1" w:tplc="E5EE9BF4" w:tentative="1">
      <w:start w:val="1"/>
      <w:numFmt w:val="bullet"/>
      <w:lvlText w:val=""/>
      <w:lvlJc w:val="left"/>
      <w:pPr>
        <w:tabs>
          <w:tab w:val="num" w:pos="1440"/>
        </w:tabs>
        <w:ind w:left="1440" w:hanging="360"/>
      </w:pPr>
      <w:rPr>
        <w:rFonts w:ascii="Symbol" w:hAnsi="Symbol" w:hint="default"/>
        <w:sz w:val="20"/>
      </w:rPr>
    </w:lvl>
    <w:lvl w:ilvl="2" w:tplc="8422A9EC" w:tentative="1">
      <w:start w:val="1"/>
      <w:numFmt w:val="bullet"/>
      <w:lvlText w:val=""/>
      <w:lvlJc w:val="left"/>
      <w:pPr>
        <w:tabs>
          <w:tab w:val="num" w:pos="2160"/>
        </w:tabs>
        <w:ind w:left="2160" w:hanging="360"/>
      </w:pPr>
      <w:rPr>
        <w:rFonts w:ascii="Symbol" w:hAnsi="Symbol" w:hint="default"/>
        <w:sz w:val="20"/>
      </w:rPr>
    </w:lvl>
    <w:lvl w:ilvl="3" w:tplc="435C7B4C" w:tentative="1">
      <w:start w:val="1"/>
      <w:numFmt w:val="bullet"/>
      <w:lvlText w:val=""/>
      <w:lvlJc w:val="left"/>
      <w:pPr>
        <w:tabs>
          <w:tab w:val="num" w:pos="2880"/>
        </w:tabs>
        <w:ind w:left="2880" w:hanging="360"/>
      </w:pPr>
      <w:rPr>
        <w:rFonts w:ascii="Symbol" w:hAnsi="Symbol" w:hint="default"/>
        <w:sz w:val="20"/>
      </w:rPr>
    </w:lvl>
    <w:lvl w:ilvl="4" w:tplc="A9D86FEC" w:tentative="1">
      <w:start w:val="1"/>
      <w:numFmt w:val="bullet"/>
      <w:lvlText w:val=""/>
      <w:lvlJc w:val="left"/>
      <w:pPr>
        <w:tabs>
          <w:tab w:val="num" w:pos="3600"/>
        </w:tabs>
        <w:ind w:left="3600" w:hanging="360"/>
      </w:pPr>
      <w:rPr>
        <w:rFonts w:ascii="Symbol" w:hAnsi="Symbol" w:hint="default"/>
        <w:sz w:val="20"/>
      </w:rPr>
    </w:lvl>
    <w:lvl w:ilvl="5" w:tplc="3F1C7D10" w:tentative="1">
      <w:start w:val="1"/>
      <w:numFmt w:val="bullet"/>
      <w:lvlText w:val=""/>
      <w:lvlJc w:val="left"/>
      <w:pPr>
        <w:tabs>
          <w:tab w:val="num" w:pos="4320"/>
        </w:tabs>
        <w:ind w:left="4320" w:hanging="360"/>
      </w:pPr>
      <w:rPr>
        <w:rFonts w:ascii="Symbol" w:hAnsi="Symbol" w:hint="default"/>
        <w:sz w:val="20"/>
      </w:rPr>
    </w:lvl>
    <w:lvl w:ilvl="6" w:tplc="3C48F0A0" w:tentative="1">
      <w:start w:val="1"/>
      <w:numFmt w:val="bullet"/>
      <w:lvlText w:val=""/>
      <w:lvlJc w:val="left"/>
      <w:pPr>
        <w:tabs>
          <w:tab w:val="num" w:pos="5040"/>
        </w:tabs>
        <w:ind w:left="5040" w:hanging="360"/>
      </w:pPr>
      <w:rPr>
        <w:rFonts w:ascii="Symbol" w:hAnsi="Symbol" w:hint="default"/>
        <w:sz w:val="20"/>
      </w:rPr>
    </w:lvl>
    <w:lvl w:ilvl="7" w:tplc="E004BDDA" w:tentative="1">
      <w:start w:val="1"/>
      <w:numFmt w:val="bullet"/>
      <w:lvlText w:val=""/>
      <w:lvlJc w:val="left"/>
      <w:pPr>
        <w:tabs>
          <w:tab w:val="num" w:pos="5760"/>
        </w:tabs>
        <w:ind w:left="5760" w:hanging="360"/>
      </w:pPr>
      <w:rPr>
        <w:rFonts w:ascii="Symbol" w:hAnsi="Symbol" w:hint="default"/>
        <w:sz w:val="20"/>
      </w:rPr>
    </w:lvl>
    <w:lvl w:ilvl="8" w:tplc="DB5AC8E4" w:tentative="1">
      <w:start w:val="1"/>
      <w:numFmt w:val="bullet"/>
      <w:lvlText w:val=""/>
      <w:lvlJc w:val="left"/>
      <w:pPr>
        <w:tabs>
          <w:tab w:val="num" w:pos="6480"/>
        </w:tabs>
        <w:ind w:left="6480" w:hanging="360"/>
      </w:pPr>
      <w:rPr>
        <w:rFonts w:ascii="Symbol" w:hAnsi="Symbol" w:hint="default"/>
        <w:sz w:val="20"/>
      </w:rPr>
    </w:lvl>
  </w:abstractNum>
  <w:abstractNum w:abstractNumId="27">
    <w:nsid w:val="78DC6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F11B4"/>
    <w:multiLevelType w:val="multilevel"/>
    <w:tmpl w:val="4E1CEA54"/>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8"/>
  </w:num>
  <w:num w:numId="3">
    <w:abstractNumId w:val="4"/>
  </w:num>
  <w:num w:numId="4">
    <w:abstractNumId w:val="26"/>
  </w:num>
  <w:num w:numId="5">
    <w:abstractNumId w:val="11"/>
  </w:num>
  <w:num w:numId="6">
    <w:abstractNumId w:val="15"/>
  </w:num>
  <w:num w:numId="7">
    <w:abstractNumId w:val="20"/>
  </w:num>
  <w:num w:numId="8">
    <w:abstractNumId w:val="19"/>
  </w:num>
  <w:num w:numId="9">
    <w:abstractNumId w:val="9"/>
  </w:num>
  <w:num w:numId="10">
    <w:abstractNumId w:val="27"/>
  </w:num>
  <w:num w:numId="11">
    <w:abstractNumId w:val="0"/>
  </w:num>
  <w:num w:numId="12">
    <w:abstractNumId w:val="18"/>
  </w:num>
  <w:num w:numId="13">
    <w:abstractNumId w:val="12"/>
  </w:num>
  <w:num w:numId="14">
    <w:abstractNumId w:val="14"/>
  </w:num>
  <w:num w:numId="15">
    <w:abstractNumId w:val="21"/>
  </w:num>
  <w:num w:numId="16">
    <w:abstractNumId w:val="25"/>
  </w:num>
  <w:num w:numId="17">
    <w:abstractNumId w:val="5"/>
  </w:num>
  <w:num w:numId="18">
    <w:abstractNumId w:val="7"/>
  </w:num>
  <w:num w:numId="19">
    <w:abstractNumId w:val="24"/>
  </w:num>
  <w:num w:numId="20">
    <w:abstractNumId w:val="28"/>
  </w:num>
  <w:num w:numId="21">
    <w:abstractNumId w:val="3"/>
  </w:num>
  <w:num w:numId="22">
    <w:abstractNumId w:val="23"/>
  </w:num>
  <w:num w:numId="23">
    <w:abstractNumId w:val="1"/>
  </w:num>
  <w:num w:numId="24">
    <w:abstractNumId w:val="22"/>
  </w:num>
  <w:num w:numId="25">
    <w:abstractNumId w:val="2"/>
  </w:num>
  <w:num w:numId="26">
    <w:abstractNumId w:val="10"/>
  </w:num>
  <w:num w:numId="27">
    <w:abstractNumId w:val="13"/>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61"/>
    <w:rsid w:val="00000720"/>
    <w:rsid w:val="000014D1"/>
    <w:rsid w:val="0000308F"/>
    <w:rsid w:val="000055FD"/>
    <w:rsid w:val="00007261"/>
    <w:rsid w:val="000107A6"/>
    <w:rsid w:val="000129E9"/>
    <w:rsid w:val="0001315A"/>
    <w:rsid w:val="00014343"/>
    <w:rsid w:val="000145CA"/>
    <w:rsid w:val="00014CEC"/>
    <w:rsid w:val="00015A63"/>
    <w:rsid w:val="00016DE1"/>
    <w:rsid w:val="00016E3B"/>
    <w:rsid w:val="00017378"/>
    <w:rsid w:val="00022053"/>
    <w:rsid w:val="00023248"/>
    <w:rsid w:val="000234A8"/>
    <w:rsid w:val="000236F5"/>
    <w:rsid w:val="00023708"/>
    <w:rsid w:val="0002459D"/>
    <w:rsid w:val="000264F5"/>
    <w:rsid w:val="000268C7"/>
    <w:rsid w:val="00026E66"/>
    <w:rsid w:val="0002745C"/>
    <w:rsid w:val="00030682"/>
    <w:rsid w:val="00030CD5"/>
    <w:rsid w:val="00031E8C"/>
    <w:rsid w:val="000334AD"/>
    <w:rsid w:val="000365BE"/>
    <w:rsid w:val="000433F6"/>
    <w:rsid w:val="00043ED6"/>
    <w:rsid w:val="00053FB2"/>
    <w:rsid w:val="00055110"/>
    <w:rsid w:val="00056BAD"/>
    <w:rsid w:val="00056D80"/>
    <w:rsid w:val="000578A5"/>
    <w:rsid w:val="00061604"/>
    <w:rsid w:val="000626CB"/>
    <w:rsid w:val="000636A1"/>
    <w:rsid w:val="00064630"/>
    <w:rsid w:val="000647EF"/>
    <w:rsid w:val="0007065E"/>
    <w:rsid w:val="00071205"/>
    <w:rsid w:val="00071E36"/>
    <w:rsid w:val="0007465B"/>
    <w:rsid w:val="00075841"/>
    <w:rsid w:val="0007608E"/>
    <w:rsid w:val="0007635B"/>
    <w:rsid w:val="000805ED"/>
    <w:rsid w:val="000824EA"/>
    <w:rsid w:val="0008347F"/>
    <w:rsid w:val="00084487"/>
    <w:rsid w:val="00086E2A"/>
    <w:rsid w:val="00090FE0"/>
    <w:rsid w:val="0009188B"/>
    <w:rsid w:val="00092BD4"/>
    <w:rsid w:val="00093EE0"/>
    <w:rsid w:val="00094F33"/>
    <w:rsid w:val="00095005"/>
    <w:rsid w:val="000951CB"/>
    <w:rsid w:val="000A0DA8"/>
    <w:rsid w:val="000A2D8C"/>
    <w:rsid w:val="000A53D1"/>
    <w:rsid w:val="000B0557"/>
    <w:rsid w:val="000B079A"/>
    <w:rsid w:val="000B3A5C"/>
    <w:rsid w:val="000B522B"/>
    <w:rsid w:val="000B681D"/>
    <w:rsid w:val="000C618A"/>
    <w:rsid w:val="000C6B3B"/>
    <w:rsid w:val="000D4432"/>
    <w:rsid w:val="000D6012"/>
    <w:rsid w:val="000D68C6"/>
    <w:rsid w:val="000E2703"/>
    <w:rsid w:val="000E5B5A"/>
    <w:rsid w:val="000E7A76"/>
    <w:rsid w:val="000F0E50"/>
    <w:rsid w:val="000F271E"/>
    <w:rsid w:val="000F6B23"/>
    <w:rsid w:val="001000E1"/>
    <w:rsid w:val="00102C55"/>
    <w:rsid w:val="00102D17"/>
    <w:rsid w:val="001039F4"/>
    <w:rsid w:val="00105003"/>
    <w:rsid w:val="0010556B"/>
    <w:rsid w:val="001056A9"/>
    <w:rsid w:val="00105948"/>
    <w:rsid w:val="0010595D"/>
    <w:rsid w:val="00105D5C"/>
    <w:rsid w:val="0011087B"/>
    <w:rsid w:val="00111BBB"/>
    <w:rsid w:val="0011637E"/>
    <w:rsid w:val="00121C81"/>
    <w:rsid w:val="00121D06"/>
    <w:rsid w:val="001224CE"/>
    <w:rsid w:val="00122692"/>
    <w:rsid w:val="001237DC"/>
    <w:rsid w:val="00126510"/>
    <w:rsid w:val="0012764A"/>
    <w:rsid w:val="00130C49"/>
    <w:rsid w:val="00131583"/>
    <w:rsid w:val="00132A04"/>
    <w:rsid w:val="00133730"/>
    <w:rsid w:val="0013422B"/>
    <w:rsid w:val="001347F8"/>
    <w:rsid w:val="00136115"/>
    <w:rsid w:val="00136CDD"/>
    <w:rsid w:val="00137A83"/>
    <w:rsid w:val="0014024A"/>
    <w:rsid w:val="0014028B"/>
    <w:rsid w:val="0014176F"/>
    <w:rsid w:val="00141D3B"/>
    <w:rsid w:val="0014407C"/>
    <w:rsid w:val="00150DF7"/>
    <w:rsid w:val="00150F05"/>
    <w:rsid w:val="00154923"/>
    <w:rsid w:val="00154A4A"/>
    <w:rsid w:val="0015680B"/>
    <w:rsid w:val="001624BD"/>
    <w:rsid w:val="001628B4"/>
    <w:rsid w:val="001630B2"/>
    <w:rsid w:val="00165AA9"/>
    <w:rsid w:val="00172243"/>
    <w:rsid w:val="00176435"/>
    <w:rsid w:val="00176F1C"/>
    <w:rsid w:val="00177E6E"/>
    <w:rsid w:val="00180D18"/>
    <w:rsid w:val="001817A6"/>
    <w:rsid w:val="00182B96"/>
    <w:rsid w:val="00183083"/>
    <w:rsid w:val="00184377"/>
    <w:rsid w:val="001856BF"/>
    <w:rsid w:val="00185B12"/>
    <w:rsid w:val="00186059"/>
    <w:rsid w:val="00187D7C"/>
    <w:rsid w:val="0019225D"/>
    <w:rsid w:val="00193B28"/>
    <w:rsid w:val="00194804"/>
    <w:rsid w:val="001953B9"/>
    <w:rsid w:val="001967CF"/>
    <w:rsid w:val="00197464"/>
    <w:rsid w:val="001A00B5"/>
    <w:rsid w:val="001A031B"/>
    <w:rsid w:val="001A35CC"/>
    <w:rsid w:val="001A366A"/>
    <w:rsid w:val="001A640E"/>
    <w:rsid w:val="001A6DD0"/>
    <w:rsid w:val="001A734B"/>
    <w:rsid w:val="001B0F5D"/>
    <w:rsid w:val="001B12D8"/>
    <w:rsid w:val="001B335B"/>
    <w:rsid w:val="001B3901"/>
    <w:rsid w:val="001B6A96"/>
    <w:rsid w:val="001B6FCF"/>
    <w:rsid w:val="001B759F"/>
    <w:rsid w:val="001C09BC"/>
    <w:rsid w:val="001C2007"/>
    <w:rsid w:val="001C22C9"/>
    <w:rsid w:val="001C3E4C"/>
    <w:rsid w:val="001C582B"/>
    <w:rsid w:val="001C7279"/>
    <w:rsid w:val="001C74F2"/>
    <w:rsid w:val="001C7D75"/>
    <w:rsid w:val="001D190F"/>
    <w:rsid w:val="001D2588"/>
    <w:rsid w:val="001D7D99"/>
    <w:rsid w:val="001E0682"/>
    <w:rsid w:val="001E33C9"/>
    <w:rsid w:val="001E7548"/>
    <w:rsid w:val="001E7739"/>
    <w:rsid w:val="001E7BE6"/>
    <w:rsid w:val="001F08B1"/>
    <w:rsid w:val="001F1E80"/>
    <w:rsid w:val="001F2680"/>
    <w:rsid w:val="001F433D"/>
    <w:rsid w:val="001F474E"/>
    <w:rsid w:val="001F4CDB"/>
    <w:rsid w:val="001F56FC"/>
    <w:rsid w:val="001F5D3C"/>
    <w:rsid w:val="002002AE"/>
    <w:rsid w:val="002014C9"/>
    <w:rsid w:val="002025B5"/>
    <w:rsid w:val="002041DE"/>
    <w:rsid w:val="00204E53"/>
    <w:rsid w:val="00204F88"/>
    <w:rsid w:val="00205D2F"/>
    <w:rsid w:val="002119F1"/>
    <w:rsid w:val="00216803"/>
    <w:rsid w:val="00217A73"/>
    <w:rsid w:val="002223CD"/>
    <w:rsid w:val="00224056"/>
    <w:rsid w:val="00224AD2"/>
    <w:rsid w:val="00231187"/>
    <w:rsid w:val="00231B46"/>
    <w:rsid w:val="00231D43"/>
    <w:rsid w:val="00233241"/>
    <w:rsid w:val="0023431A"/>
    <w:rsid w:val="00234C29"/>
    <w:rsid w:val="00234CE8"/>
    <w:rsid w:val="0023567D"/>
    <w:rsid w:val="00241F1C"/>
    <w:rsid w:val="00242A5A"/>
    <w:rsid w:val="00242DD1"/>
    <w:rsid w:val="0024375C"/>
    <w:rsid w:val="00247A3A"/>
    <w:rsid w:val="00254683"/>
    <w:rsid w:val="00255B6B"/>
    <w:rsid w:val="00256951"/>
    <w:rsid w:val="00261282"/>
    <w:rsid w:val="002627CE"/>
    <w:rsid w:val="00262987"/>
    <w:rsid w:val="0027060E"/>
    <w:rsid w:val="00270FF4"/>
    <w:rsid w:val="00272B9E"/>
    <w:rsid w:val="002735C1"/>
    <w:rsid w:val="00275652"/>
    <w:rsid w:val="00277640"/>
    <w:rsid w:val="00277FE4"/>
    <w:rsid w:val="00281CC5"/>
    <w:rsid w:val="00283E11"/>
    <w:rsid w:val="002849E6"/>
    <w:rsid w:val="0028627C"/>
    <w:rsid w:val="002913BD"/>
    <w:rsid w:val="00295DC5"/>
    <w:rsid w:val="00296000"/>
    <w:rsid w:val="00297B5C"/>
    <w:rsid w:val="002A16E2"/>
    <w:rsid w:val="002A204D"/>
    <w:rsid w:val="002A2698"/>
    <w:rsid w:val="002A3536"/>
    <w:rsid w:val="002A46ED"/>
    <w:rsid w:val="002A50B3"/>
    <w:rsid w:val="002A6575"/>
    <w:rsid w:val="002B048A"/>
    <w:rsid w:val="002B0CA2"/>
    <w:rsid w:val="002B24CE"/>
    <w:rsid w:val="002B29EF"/>
    <w:rsid w:val="002B3EA6"/>
    <w:rsid w:val="002B3F24"/>
    <w:rsid w:val="002B3FC7"/>
    <w:rsid w:val="002C1F38"/>
    <w:rsid w:val="002C24B0"/>
    <w:rsid w:val="002C5A08"/>
    <w:rsid w:val="002C6413"/>
    <w:rsid w:val="002C6736"/>
    <w:rsid w:val="002C7854"/>
    <w:rsid w:val="002D0BE7"/>
    <w:rsid w:val="002D2395"/>
    <w:rsid w:val="002D518B"/>
    <w:rsid w:val="002D57B6"/>
    <w:rsid w:val="002E12BE"/>
    <w:rsid w:val="002E1473"/>
    <w:rsid w:val="002E20AB"/>
    <w:rsid w:val="002E4CEE"/>
    <w:rsid w:val="002E74B5"/>
    <w:rsid w:val="002F354A"/>
    <w:rsid w:val="002F54BE"/>
    <w:rsid w:val="002F6376"/>
    <w:rsid w:val="002F73ED"/>
    <w:rsid w:val="002F77F2"/>
    <w:rsid w:val="0030147A"/>
    <w:rsid w:val="00301695"/>
    <w:rsid w:val="003019D3"/>
    <w:rsid w:val="00301B8F"/>
    <w:rsid w:val="0030380E"/>
    <w:rsid w:val="003039A6"/>
    <w:rsid w:val="00305199"/>
    <w:rsid w:val="00307883"/>
    <w:rsid w:val="00310C7B"/>
    <w:rsid w:val="00311B2B"/>
    <w:rsid w:val="003125CA"/>
    <w:rsid w:val="00312858"/>
    <w:rsid w:val="00312AF0"/>
    <w:rsid w:val="00312CB2"/>
    <w:rsid w:val="00312EDD"/>
    <w:rsid w:val="003133BB"/>
    <w:rsid w:val="0031380E"/>
    <w:rsid w:val="00313A87"/>
    <w:rsid w:val="00315A76"/>
    <w:rsid w:val="0031676F"/>
    <w:rsid w:val="00322ABD"/>
    <w:rsid w:val="00322D09"/>
    <w:rsid w:val="003235B6"/>
    <w:rsid w:val="00324328"/>
    <w:rsid w:val="00325D32"/>
    <w:rsid w:val="00326074"/>
    <w:rsid w:val="00327C75"/>
    <w:rsid w:val="0033156E"/>
    <w:rsid w:val="00331FE8"/>
    <w:rsid w:val="00332388"/>
    <w:rsid w:val="003338BF"/>
    <w:rsid w:val="003341C0"/>
    <w:rsid w:val="003347A3"/>
    <w:rsid w:val="00334DE0"/>
    <w:rsid w:val="0033531B"/>
    <w:rsid w:val="0033599D"/>
    <w:rsid w:val="00336E0B"/>
    <w:rsid w:val="0033754D"/>
    <w:rsid w:val="00340681"/>
    <w:rsid w:val="00340CC0"/>
    <w:rsid w:val="00341700"/>
    <w:rsid w:val="00343977"/>
    <w:rsid w:val="00343E29"/>
    <w:rsid w:val="00344A68"/>
    <w:rsid w:val="003452AB"/>
    <w:rsid w:val="00347234"/>
    <w:rsid w:val="003476CA"/>
    <w:rsid w:val="00352CBF"/>
    <w:rsid w:val="00353193"/>
    <w:rsid w:val="00353360"/>
    <w:rsid w:val="003535E2"/>
    <w:rsid w:val="00354654"/>
    <w:rsid w:val="00355E59"/>
    <w:rsid w:val="00356388"/>
    <w:rsid w:val="0035670F"/>
    <w:rsid w:val="00357CAF"/>
    <w:rsid w:val="00360D8C"/>
    <w:rsid w:val="00361E65"/>
    <w:rsid w:val="00363B32"/>
    <w:rsid w:val="00367A19"/>
    <w:rsid w:val="0037008F"/>
    <w:rsid w:val="00373906"/>
    <w:rsid w:val="0037662C"/>
    <w:rsid w:val="003778F6"/>
    <w:rsid w:val="00380B9B"/>
    <w:rsid w:val="003821F1"/>
    <w:rsid w:val="00382E3B"/>
    <w:rsid w:val="0038422E"/>
    <w:rsid w:val="003855E8"/>
    <w:rsid w:val="00387585"/>
    <w:rsid w:val="0039060F"/>
    <w:rsid w:val="003924BC"/>
    <w:rsid w:val="003975CE"/>
    <w:rsid w:val="003A2E74"/>
    <w:rsid w:val="003A3728"/>
    <w:rsid w:val="003A6058"/>
    <w:rsid w:val="003B0108"/>
    <w:rsid w:val="003B14F4"/>
    <w:rsid w:val="003B1892"/>
    <w:rsid w:val="003B2508"/>
    <w:rsid w:val="003B42AF"/>
    <w:rsid w:val="003B4AAC"/>
    <w:rsid w:val="003B668E"/>
    <w:rsid w:val="003B7197"/>
    <w:rsid w:val="003B78FE"/>
    <w:rsid w:val="003C254E"/>
    <w:rsid w:val="003C2F9E"/>
    <w:rsid w:val="003C4942"/>
    <w:rsid w:val="003C5E8E"/>
    <w:rsid w:val="003C7C34"/>
    <w:rsid w:val="003D07D6"/>
    <w:rsid w:val="003D0ACE"/>
    <w:rsid w:val="003D1F7A"/>
    <w:rsid w:val="003D3452"/>
    <w:rsid w:val="003D3B90"/>
    <w:rsid w:val="003D489D"/>
    <w:rsid w:val="003D5F10"/>
    <w:rsid w:val="003D7D1B"/>
    <w:rsid w:val="003E0257"/>
    <w:rsid w:val="003E096F"/>
    <w:rsid w:val="003E0A92"/>
    <w:rsid w:val="003E1771"/>
    <w:rsid w:val="003E21BC"/>
    <w:rsid w:val="003E33DC"/>
    <w:rsid w:val="003E424C"/>
    <w:rsid w:val="003E579D"/>
    <w:rsid w:val="003F17A7"/>
    <w:rsid w:val="003F2689"/>
    <w:rsid w:val="00402165"/>
    <w:rsid w:val="00403250"/>
    <w:rsid w:val="004057D7"/>
    <w:rsid w:val="004063C1"/>
    <w:rsid w:val="00406431"/>
    <w:rsid w:val="0040658F"/>
    <w:rsid w:val="00410FAA"/>
    <w:rsid w:val="00411FAF"/>
    <w:rsid w:val="00416FE0"/>
    <w:rsid w:val="00422485"/>
    <w:rsid w:val="00425314"/>
    <w:rsid w:val="0042682B"/>
    <w:rsid w:val="004305C9"/>
    <w:rsid w:val="0043068D"/>
    <w:rsid w:val="00431B29"/>
    <w:rsid w:val="00432727"/>
    <w:rsid w:val="00433182"/>
    <w:rsid w:val="00434449"/>
    <w:rsid w:val="004426F4"/>
    <w:rsid w:val="004432D6"/>
    <w:rsid w:val="00445E62"/>
    <w:rsid w:val="00446F4A"/>
    <w:rsid w:val="00447903"/>
    <w:rsid w:val="00452107"/>
    <w:rsid w:val="0045283F"/>
    <w:rsid w:val="00452DA1"/>
    <w:rsid w:val="00454BAE"/>
    <w:rsid w:val="00455002"/>
    <w:rsid w:val="00457197"/>
    <w:rsid w:val="0046060B"/>
    <w:rsid w:val="00465579"/>
    <w:rsid w:val="004666C1"/>
    <w:rsid w:val="00467282"/>
    <w:rsid w:val="0047152F"/>
    <w:rsid w:val="00473D30"/>
    <w:rsid w:val="0047714C"/>
    <w:rsid w:val="00481C36"/>
    <w:rsid w:val="00484CC5"/>
    <w:rsid w:val="00487BD5"/>
    <w:rsid w:val="00491D8E"/>
    <w:rsid w:val="00492578"/>
    <w:rsid w:val="00493A29"/>
    <w:rsid w:val="004942FE"/>
    <w:rsid w:val="004948CF"/>
    <w:rsid w:val="00496A9C"/>
    <w:rsid w:val="00496E8F"/>
    <w:rsid w:val="004A093A"/>
    <w:rsid w:val="004A5583"/>
    <w:rsid w:val="004A60A3"/>
    <w:rsid w:val="004A6582"/>
    <w:rsid w:val="004B1EC3"/>
    <w:rsid w:val="004B2050"/>
    <w:rsid w:val="004B683F"/>
    <w:rsid w:val="004B7263"/>
    <w:rsid w:val="004B74A6"/>
    <w:rsid w:val="004C19E9"/>
    <w:rsid w:val="004C3EDA"/>
    <w:rsid w:val="004C3FFF"/>
    <w:rsid w:val="004C406F"/>
    <w:rsid w:val="004C5801"/>
    <w:rsid w:val="004D3B69"/>
    <w:rsid w:val="004D42B1"/>
    <w:rsid w:val="004D6D33"/>
    <w:rsid w:val="004D75AC"/>
    <w:rsid w:val="004D7833"/>
    <w:rsid w:val="004E23EB"/>
    <w:rsid w:val="004E2BA1"/>
    <w:rsid w:val="004E3937"/>
    <w:rsid w:val="004E39FD"/>
    <w:rsid w:val="004E45DF"/>
    <w:rsid w:val="004F0075"/>
    <w:rsid w:val="004F127D"/>
    <w:rsid w:val="004F1769"/>
    <w:rsid w:val="004F1836"/>
    <w:rsid w:val="004F2BFB"/>
    <w:rsid w:val="004F2FDF"/>
    <w:rsid w:val="004F7288"/>
    <w:rsid w:val="004F7956"/>
    <w:rsid w:val="004F7ECD"/>
    <w:rsid w:val="00500B62"/>
    <w:rsid w:val="005013CF"/>
    <w:rsid w:val="00504CA6"/>
    <w:rsid w:val="005051AB"/>
    <w:rsid w:val="005064D8"/>
    <w:rsid w:val="005068EA"/>
    <w:rsid w:val="0051058E"/>
    <w:rsid w:val="00510A78"/>
    <w:rsid w:val="00510BAC"/>
    <w:rsid w:val="00511F94"/>
    <w:rsid w:val="00513CBF"/>
    <w:rsid w:val="00514D98"/>
    <w:rsid w:val="005155DA"/>
    <w:rsid w:val="005177BD"/>
    <w:rsid w:val="00526387"/>
    <w:rsid w:val="00526AA5"/>
    <w:rsid w:val="005272D8"/>
    <w:rsid w:val="005319E6"/>
    <w:rsid w:val="00531C9B"/>
    <w:rsid w:val="00532118"/>
    <w:rsid w:val="00532628"/>
    <w:rsid w:val="00534E6F"/>
    <w:rsid w:val="005352F6"/>
    <w:rsid w:val="0053603B"/>
    <w:rsid w:val="0053685A"/>
    <w:rsid w:val="0053754B"/>
    <w:rsid w:val="00541C52"/>
    <w:rsid w:val="00541E96"/>
    <w:rsid w:val="005435BA"/>
    <w:rsid w:val="00543CCE"/>
    <w:rsid w:val="00545003"/>
    <w:rsid w:val="00546FA8"/>
    <w:rsid w:val="005503E8"/>
    <w:rsid w:val="005529EF"/>
    <w:rsid w:val="00553279"/>
    <w:rsid w:val="00553837"/>
    <w:rsid w:val="005614D8"/>
    <w:rsid w:val="00561556"/>
    <w:rsid w:val="0056164E"/>
    <w:rsid w:val="0056186E"/>
    <w:rsid w:val="005642BD"/>
    <w:rsid w:val="00564533"/>
    <w:rsid w:val="00566741"/>
    <w:rsid w:val="005705A5"/>
    <w:rsid w:val="00571AE0"/>
    <w:rsid w:val="0057504B"/>
    <w:rsid w:val="00575AC3"/>
    <w:rsid w:val="0057649F"/>
    <w:rsid w:val="0057788C"/>
    <w:rsid w:val="00577A54"/>
    <w:rsid w:val="00577CDA"/>
    <w:rsid w:val="00580A30"/>
    <w:rsid w:val="005815BB"/>
    <w:rsid w:val="0058321D"/>
    <w:rsid w:val="00584340"/>
    <w:rsid w:val="0058506E"/>
    <w:rsid w:val="00590C7C"/>
    <w:rsid w:val="00591257"/>
    <w:rsid w:val="005944EE"/>
    <w:rsid w:val="00594BA6"/>
    <w:rsid w:val="0059533C"/>
    <w:rsid w:val="00595CED"/>
    <w:rsid w:val="005A12E9"/>
    <w:rsid w:val="005A2625"/>
    <w:rsid w:val="005A4905"/>
    <w:rsid w:val="005A4A60"/>
    <w:rsid w:val="005A570E"/>
    <w:rsid w:val="005A5F0A"/>
    <w:rsid w:val="005A62AE"/>
    <w:rsid w:val="005A6580"/>
    <w:rsid w:val="005A6AF3"/>
    <w:rsid w:val="005B01E1"/>
    <w:rsid w:val="005B2113"/>
    <w:rsid w:val="005B2205"/>
    <w:rsid w:val="005B25CA"/>
    <w:rsid w:val="005B5CAC"/>
    <w:rsid w:val="005B67F8"/>
    <w:rsid w:val="005C084C"/>
    <w:rsid w:val="005C2525"/>
    <w:rsid w:val="005C2579"/>
    <w:rsid w:val="005C318B"/>
    <w:rsid w:val="005C4BD0"/>
    <w:rsid w:val="005C6F52"/>
    <w:rsid w:val="005D3215"/>
    <w:rsid w:val="005D4C6B"/>
    <w:rsid w:val="005D5670"/>
    <w:rsid w:val="005D67FA"/>
    <w:rsid w:val="005E540B"/>
    <w:rsid w:val="005E6D9B"/>
    <w:rsid w:val="005E7B4F"/>
    <w:rsid w:val="005F0A73"/>
    <w:rsid w:val="005F1B83"/>
    <w:rsid w:val="005F257B"/>
    <w:rsid w:val="005F2DEC"/>
    <w:rsid w:val="005F2FBA"/>
    <w:rsid w:val="005F3E48"/>
    <w:rsid w:val="005F5178"/>
    <w:rsid w:val="005F6369"/>
    <w:rsid w:val="005F6E3A"/>
    <w:rsid w:val="005F78B9"/>
    <w:rsid w:val="005F7D2B"/>
    <w:rsid w:val="00600BB7"/>
    <w:rsid w:val="00603867"/>
    <w:rsid w:val="006046CF"/>
    <w:rsid w:val="006109D4"/>
    <w:rsid w:val="006162DF"/>
    <w:rsid w:val="00616D76"/>
    <w:rsid w:val="00620C49"/>
    <w:rsid w:val="00620DEA"/>
    <w:rsid w:val="00624188"/>
    <w:rsid w:val="00624652"/>
    <w:rsid w:val="00624DC5"/>
    <w:rsid w:val="00625463"/>
    <w:rsid w:val="0062639B"/>
    <w:rsid w:val="00626BCC"/>
    <w:rsid w:val="00627DEA"/>
    <w:rsid w:val="00627E5A"/>
    <w:rsid w:val="00632188"/>
    <w:rsid w:val="00636F09"/>
    <w:rsid w:val="00640C1B"/>
    <w:rsid w:val="006413A6"/>
    <w:rsid w:val="00642839"/>
    <w:rsid w:val="00643CDC"/>
    <w:rsid w:val="006448C5"/>
    <w:rsid w:val="00645336"/>
    <w:rsid w:val="00646413"/>
    <w:rsid w:val="00646F6B"/>
    <w:rsid w:val="00647A0F"/>
    <w:rsid w:val="00657D3C"/>
    <w:rsid w:val="00662400"/>
    <w:rsid w:val="006624B2"/>
    <w:rsid w:val="00663955"/>
    <w:rsid w:val="006652B9"/>
    <w:rsid w:val="00670A43"/>
    <w:rsid w:val="00674479"/>
    <w:rsid w:val="0067465B"/>
    <w:rsid w:val="00677C4C"/>
    <w:rsid w:val="00682152"/>
    <w:rsid w:val="0068371E"/>
    <w:rsid w:val="00683D11"/>
    <w:rsid w:val="006841C7"/>
    <w:rsid w:val="00684D78"/>
    <w:rsid w:val="00685476"/>
    <w:rsid w:val="00685553"/>
    <w:rsid w:val="00686C8C"/>
    <w:rsid w:val="00692D29"/>
    <w:rsid w:val="0069438A"/>
    <w:rsid w:val="0069760A"/>
    <w:rsid w:val="006A0623"/>
    <w:rsid w:val="006A0C04"/>
    <w:rsid w:val="006A1DAC"/>
    <w:rsid w:val="006A201B"/>
    <w:rsid w:val="006A3FBE"/>
    <w:rsid w:val="006A5382"/>
    <w:rsid w:val="006A5799"/>
    <w:rsid w:val="006A6057"/>
    <w:rsid w:val="006B217B"/>
    <w:rsid w:val="006B379D"/>
    <w:rsid w:val="006B4AE2"/>
    <w:rsid w:val="006B6B8F"/>
    <w:rsid w:val="006B6F2A"/>
    <w:rsid w:val="006C093B"/>
    <w:rsid w:val="006C0E10"/>
    <w:rsid w:val="006C1120"/>
    <w:rsid w:val="006C2740"/>
    <w:rsid w:val="006C443F"/>
    <w:rsid w:val="006D0339"/>
    <w:rsid w:val="006D1C90"/>
    <w:rsid w:val="006D294F"/>
    <w:rsid w:val="006D45FA"/>
    <w:rsid w:val="006E1FF5"/>
    <w:rsid w:val="006E2913"/>
    <w:rsid w:val="006E2EE5"/>
    <w:rsid w:val="006E385E"/>
    <w:rsid w:val="006E3AA0"/>
    <w:rsid w:val="006E6313"/>
    <w:rsid w:val="006E7FB7"/>
    <w:rsid w:val="006F00FD"/>
    <w:rsid w:val="006F0436"/>
    <w:rsid w:val="006F0EF0"/>
    <w:rsid w:val="006F15C2"/>
    <w:rsid w:val="006F4740"/>
    <w:rsid w:val="006F5E11"/>
    <w:rsid w:val="006F7019"/>
    <w:rsid w:val="007034E8"/>
    <w:rsid w:val="0070441F"/>
    <w:rsid w:val="00704EDB"/>
    <w:rsid w:val="00706726"/>
    <w:rsid w:val="007113F9"/>
    <w:rsid w:val="00711A83"/>
    <w:rsid w:val="0071468C"/>
    <w:rsid w:val="00715D33"/>
    <w:rsid w:val="00715F19"/>
    <w:rsid w:val="0071602D"/>
    <w:rsid w:val="00716C5A"/>
    <w:rsid w:val="00716E10"/>
    <w:rsid w:val="0072134D"/>
    <w:rsid w:val="0072215D"/>
    <w:rsid w:val="00722C5A"/>
    <w:rsid w:val="007238D6"/>
    <w:rsid w:val="00724A34"/>
    <w:rsid w:val="007257A4"/>
    <w:rsid w:val="007260F8"/>
    <w:rsid w:val="007264B0"/>
    <w:rsid w:val="00727121"/>
    <w:rsid w:val="00731579"/>
    <w:rsid w:val="00732B8F"/>
    <w:rsid w:val="00735E1D"/>
    <w:rsid w:val="007407DC"/>
    <w:rsid w:val="00740D03"/>
    <w:rsid w:val="00741B91"/>
    <w:rsid w:val="007430E7"/>
    <w:rsid w:val="007511EA"/>
    <w:rsid w:val="00751805"/>
    <w:rsid w:val="00751FD6"/>
    <w:rsid w:val="00757A2A"/>
    <w:rsid w:val="00763558"/>
    <w:rsid w:val="007652EB"/>
    <w:rsid w:val="0076604D"/>
    <w:rsid w:val="00766B9B"/>
    <w:rsid w:val="00767CB8"/>
    <w:rsid w:val="00770AFB"/>
    <w:rsid w:val="00771D82"/>
    <w:rsid w:val="00774BC6"/>
    <w:rsid w:val="007757E6"/>
    <w:rsid w:val="00775FAB"/>
    <w:rsid w:val="0078158C"/>
    <w:rsid w:val="007835DD"/>
    <w:rsid w:val="00783829"/>
    <w:rsid w:val="00783986"/>
    <w:rsid w:val="00785FB0"/>
    <w:rsid w:val="007959F0"/>
    <w:rsid w:val="007974B1"/>
    <w:rsid w:val="00797C39"/>
    <w:rsid w:val="007A065D"/>
    <w:rsid w:val="007A547B"/>
    <w:rsid w:val="007A74CE"/>
    <w:rsid w:val="007B1D29"/>
    <w:rsid w:val="007B202D"/>
    <w:rsid w:val="007B267F"/>
    <w:rsid w:val="007B273C"/>
    <w:rsid w:val="007B2E80"/>
    <w:rsid w:val="007B391A"/>
    <w:rsid w:val="007B73A3"/>
    <w:rsid w:val="007C0081"/>
    <w:rsid w:val="007C05E4"/>
    <w:rsid w:val="007C1569"/>
    <w:rsid w:val="007C48BE"/>
    <w:rsid w:val="007C5722"/>
    <w:rsid w:val="007D027D"/>
    <w:rsid w:val="007D1C01"/>
    <w:rsid w:val="007D2E3B"/>
    <w:rsid w:val="007D46DD"/>
    <w:rsid w:val="007D4900"/>
    <w:rsid w:val="007E49C1"/>
    <w:rsid w:val="007E6F7C"/>
    <w:rsid w:val="007E752D"/>
    <w:rsid w:val="007E7E76"/>
    <w:rsid w:val="007F03AD"/>
    <w:rsid w:val="007F09BE"/>
    <w:rsid w:val="007F2267"/>
    <w:rsid w:val="007F4942"/>
    <w:rsid w:val="007F7672"/>
    <w:rsid w:val="00801809"/>
    <w:rsid w:val="00803793"/>
    <w:rsid w:val="00803E59"/>
    <w:rsid w:val="00806809"/>
    <w:rsid w:val="00806F2B"/>
    <w:rsid w:val="008075CA"/>
    <w:rsid w:val="00807954"/>
    <w:rsid w:val="0081689F"/>
    <w:rsid w:val="00821AB3"/>
    <w:rsid w:val="008230A7"/>
    <w:rsid w:val="00824D2A"/>
    <w:rsid w:val="00824FB2"/>
    <w:rsid w:val="00825BD3"/>
    <w:rsid w:val="008270C5"/>
    <w:rsid w:val="00830D3A"/>
    <w:rsid w:val="00831083"/>
    <w:rsid w:val="00831252"/>
    <w:rsid w:val="0083299D"/>
    <w:rsid w:val="00832A3A"/>
    <w:rsid w:val="00833C7B"/>
    <w:rsid w:val="00833DAC"/>
    <w:rsid w:val="00835419"/>
    <w:rsid w:val="00836B2A"/>
    <w:rsid w:val="00836DD7"/>
    <w:rsid w:val="00840182"/>
    <w:rsid w:val="00840E2E"/>
    <w:rsid w:val="00843D36"/>
    <w:rsid w:val="00844393"/>
    <w:rsid w:val="00845DC0"/>
    <w:rsid w:val="00845DCA"/>
    <w:rsid w:val="0084781D"/>
    <w:rsid w:val="00853A8D"/>
    <w:rsid w:val="008542C9"/>
    <w:rsid w:val="00855C56"/>
    <w:rsid w:val="00855EE6"/>
    <w:rsid w:val="0086174F"/>
    <w:rsid w:val="00864250"/>
    <w:rsid w:val="0086698A"/>
    <w:rsid w:val="0087004A"/>
    <w:rsid w:val="00870367"/>
    <w:rsid w:val="0087285B"/>
    <w:rsid w:val="00872E90"/>
    <w:rsid w:val="00873966"/>
    <w:rsid w:val="0087453B"/>
    <w:rsid w:val="008771A1"/>
    <w:rsid w:val="00881339"/>
    <w:rsid w:val="00881893"/>
    <w:rsid w:val="00882C1C"/>
    <w:rsid w:val="00884BC5"/>
    <w:rsid w:val="00887151"/>
    <w:rsid w:val="00890199"/>
    <w:rsid w:val="008904D0"/>
    <w:rsid w:val="008912DB"/>
    <w:rsid w:val="00892CE5"/>
    <w:rsid w:val="008947A6"/>
    <w:rsid w:val="00897A64"/>
    <w:rsid w:val="008A035C"/>
    <w:rsid w:val="008A03CB"/>
    <w:rsid w:val="008A115D"/>
    <w:rsid w:val="008A120B"/>
    <w:rsid w:val="008A781C"/>
    <w:rsid w:val="008B23A8"/>
    <w:rsid w:val="008B40E9"/>
    <w:rsid w:val="008C151D"/>
    <w:rsid w:val="008C2449"/>
    <w:rsid w:val="008C27E7"/>
    <w:rsid w:val="008C2DFD"/>
    <w:rsid w:val="008C4395"/>
    <w:rsid w:val="008C5455"/>
    <w:rsid w:val="008D1178"/>
    <w:rsid w:val="008D283F"/>
    <w:rsid w:val="008D4956"/>
    <w:rsid w:val="008D4C2C"/>
    <w:rsid w:val="008D5DB2"/>
    <w:rsid w:val="008D5E11"/>
    <w:rsid w:val="008E07C7"/>
    <w:rsid w:val="008E0D10"/>
    <w:rsid w:val="008E2AD1"/>
    <w:rsid w:val="008E32E2"/>
    <w:rsid w:val="008E589B"/>
    <w:rsid w:val="008F0C90"/>
    <w:rsid w:val="008F1647"/>
    <w:rsid w:val="008F1E9B"/>
    <w:rsid w:val="008F32A5"/>
    <w:rsid w:val="008F32F5"/>
    <w:rsid w:val="008F338D"/>
    <w:rsid w:val="008F6F22"/>
    <w:rsid w:val="008F7E4D"/>
    <w:rsid w:val="0090250F"/>
    <w:rsid w:val="00902CB2"/>
    <w:rsid w:val="00903B01"/>
    <w:rsid w:val="009048B1"/>
    <w:rsid w:val="00905E84"/>
    <w:rsid w:val="009065C3"/>
    <w:rsid w:val="00906825"/>
    <w:rsid w:val="0091151A"/>
    <w:rsid w:val="0091250F"/>
    <w:rsid w:val="0091412C"/>
    <w:rsid w:val="00917A11"/>
    <w:rsid w:val="009205EB"/>
    <w:rsid w:val="00920712"/>
    <w:rsid w:val="00923FB4"/>
    <w:rsid w:val="009247AA"/>
    <w:rsid w:val="009248F9"/>
    <w:rsid w:val="0092533A"/>
    <w:rsid w:val="009313ED"/>
    <w:rsid w:val="009345B5"/>
    <w:rsid w:val="00934C92"/>
    <w:rsid w:val="00936E8F"/>
    <w:rsid w:val="009377B0"/>
    <w:rsid w:val="0094081A"/>
    <w:rsid w:val="0094616A"/>
    <w:rsid w:val="00947F3D"/>
    <w:rsid w:val="00950680"/>
    <w:rsid w:val="00950974"/>
    <w:rsid w:val="0095219A"/>
    <w:rsid w:val="00954BE3"/>
    <w:rsid w:val="00961235"/>
    <w:rsid w:val="00961310"/>
    <w:rsid w:val="00961661"/>
    <w:rsid w:val="00962169"/>
    <w:rsid w:val="00963ED1"/>
    <w:rsid w:val="00964174"/>
    <w:rsid w:val="009676B1"/>
    <w:rsid w:val="009677EC"/>
    <w:rsid w:val="009701CB"/>
    <w:rsid w:val="0097061B"/>
    <w:rsid w:val="009731A8"/>
    <w:rsid w:val="00973651"/>
    <w:rsid w:val="00973C59"/>
    <w:rsid w:val="00974038"/>
    <w:rsid w:val="00977DE5"/>
    <w:rsid w:val="00977E7F"/>
    <w:rsid w:val="00981A7B"/>
    <w:rsid w:val="0098509D"/>
    <w:rsid w:val="00985934"/>
    <w:rsid w:val="00985F45"/>
    <w:rsid w:val="00991C20"/>
    <w:rsid w:val="009A0781"/>
    <w:rsid w:val="009A21D7"/>
    <w:rsid w:val="009A235A"/>
    <w:rsid w:val="009A472E"/>
    <w:rsid w:val="009A651C"/>
    <w:rsid w:val="009B042F"/>
    <w:rsid w:val="009B1BA2"/>
    <w:rsid w:val="009B4BE3"/>
    <w:rsid w:val="009B4D59"/>
    <w:rsid w:val="009B6B7C"/>
    <w:rsid w:val="009C043D"/>
    <w:rsid w:val="009C31BF"/>
    <w:rsid w:val="009C34F2"/>
    <w:rsid w:val="009C4174"/>
    <w:rsid w:val="009C5347"/>
    <w:rsid w:val="009C6FCA"/>
    <w:rsid w:val="009D1F46"/>
    <w:rsid w:val="009D26D2"/>
    <w:rsid w:val="009D28DD"/>
    <w:rsid w:val="009D5327"/>
    <w:rsid w:val="009D5BF1"/>
    <w:rsid w:val="009D659A"/>
    <w:rsid w:val="009D776E"/>
    <w:rsid w:val="009E23A4"/>
    <w:rsid w:val="009E3791"/>
    <w:rsid w:val="009E38F2"/>
    <w:rsid w:val="009E3AE5"/>
    <w:rsid w:val="009E527F"/>
    <w:rsid w:val="009E52AC"/>
    <w:rsid w:val="009E6CF7"/>
    <w:rsid w:val="009E71F2"/>
    <w:rsid w:val="009E72ED"/>
    <w:rsid w:val="009E7F68"/>
    <w:rsid w:val="009F2C19"/>
    <w:rsid w:val="009F30FC"/>
    <w:rsid w:val="00A0019D"/>
    <w:rsid w:val="00A02581"/>
    <w:rsid w:val="00A02A0A"/>
    <w:rsid w:val="00A04A4C"/>
    <w:rsid w:val="00A04E00"/>
    <w:rsid w:val="00A0526A"/>
    <w:rsid w:val="00A06D83"/>
    <w:rsid w:val="00A10C4D"/>
    <w:rsid w:val="00A12A75"/>
    <w:rsid w:val="00A131FB"/>
    <w:rsid w:val="00A13B97"/>
    <w:rsid w:val="00A14B07"/>
    <w:rsid w:val="00A15869"/>
    <w:rsid w:val="00A16377"/>
    <w:rsid w:val="00A16E2F"/>
    <w:rsid w:val="00A17CCD"/>
    <w:rsid w:val="00A20386"/>
    <w:rsid w:val="00A2114F"/>
    <w:rsid w:val="00A23C4B"/>
    <w:rsid w:val="00A27ABB"/>
    <w:rsid w:val="00A313F5"/>
    <w:rsid w:val="00A34F5A"/>
    <w:rsid w:val="00A35AD1"/>
    <w:rsid w:val="00A40E0C"/>
    <w:rsid w:val="00A42EF0"/>
    <w:rsid w:val="00A438CF"/>
    <w:rsid w:val="00A45307"/>
    <w:rsid w:val="00A50FA2"/>
    <w:rsid w:val="00A51450"/>
    <w:rsid w:val="00A514B7"/>
    <w:rsid w:val="00A51AEE"/>
    <w:rsid w:val="00A5260D"/>
    <w:rsid w:val="00A54B2E"/>
    <w:rsid w:val="00A57F23"/>
    <w:rsid w:val="00A608F7"/>
    <w:rsid w:val="00A6138C"/>
    <w:rsid w:val="00A616B7"/>
    <w:rsid w:val="00A617CC"/>
    <w:rsid w:val="00A62818"/>
    <w:rsid w:val="00A63B92"/>
    <w:rsid w:val="00A645EE"/>
    <w:rsid w:val="00A65FE9"/>
    <w:rsid w:val="00A66724"/>
    <w:rsid w:val="00A70183"/>
    <w:rsid w:val="00A7020E"/>
    <w:rsid w:val="00A71380"/>
    <w:rsid w:val="00A73E94"/>
    <w:rsid w:val="00A74AA5"/>
    <w:rsid w:val="00A7716E"/>
    <w:rsid w:val="00A778FF"/>
    <w:rsid w:val="00A77EA8"/>
    <w:rsid w:val="00A819CA"/>
    <w:rsid w:val="00A848C0"/>
    <w:rsid w:val="00A85335"/>
    <w:rsid w:val="00A85573"/>
    <w:rsid w:val="00A862BA"/>
    <w:rsid w:val="00A87E52"/>
    <w:rsid w:val="00A87FFC"/>
    <w:rsid w:val="00A95407"/>
    <w:rsid w:val="00A96010"/>
    <w:rsid w:val="00AA0D27"/>
    <w:rsid w:val="00AA5575"/>
    <w:rsid w:val="00AA57A5"/>
    <w:rsid w:val="00AA6171"/>
    <w:rsid w:val="00AA6A7F"/>
    <w:rsid w:val="00AA7695"/>
    <w:rsid w:val="00AA79E7"/>
    <w:rsid w:val="00AA7C8A"/>
    <w:rsid w:val="00AB09EB"/>
    <w:rsid w:val="00AB3AFE"/>
    <w:rsid w:val="00AC5595"/>
    <w:rsid w:val="00AC564F"/>
    <w:rsid w:val="00AC5969"/>
    <w:rsid w:val="00AC5E4A"/>
    <w:rsid w:val="00AC6997"/>
    <w:rsid w:val="00AC74AA"/>
    <w:rsid w:val="00AD0C91"/>
    <w:rsid w:val="00AD1310"/>
    <w:rsid w:val="00AD164B"/>
    <w:rsid w:val="00AD2F14"/>
    <w:rsid w:val="00AD363C"/>
    <w:rsid w:val="00AD49C5"/>
    <w:rsid w:val="00AD6AF1"/>
    <w:rsid w:val="00AD792B"/>
    <w:rsid w:val="00AE345C"/>
    <w:rsid w:val="00AE5B6B"/>
    <w:rsid w:val="00AE5CE7"/>
    <w:rsid w:val="00AF155C"/>
    <w:rsid w:val="00AF1605"/>
    <w:rsid w:val="00AF2B86"/>
    <w:rsid w:val="00AF3E98"/>
    <w:rsid w:val="00AF7283"/>
    <w:rsid w:val="00B00A75"/>
    <w:rsid w:val="00B00E43"/>
    <w:rsid w:val="00B01A38"/>
    <w:rsid w:val="00B035D7"/>
    <w:rsid w:val="00B04571"/>
    <w:rsid w:val="00B05836"/>
    <w:rsid w:val="00B0591C"/>
    <w:rsid w:val="00B06082"/>
    <w:rsid w:val="00B07651"/>
    <w:rsid w:val="00B10E8F"/>
    <w:rsid w:val="00B1131A"/>
    <w:rsid w:val="00B11D64"/>
    <w:rsid w:val="00B1260C"/>
    <w:rsid w:val="00B1368B"/>
    <w:rsid w:val="00B157F7"/>
    <w:rsid w:val="00B17F98"/>
    <w:rsid w:val="00B2197A"/>
    <w:rsid w:val="00B21D98"/>
    <w:rsid w:val="00B2532C"/>
    <w:rsid w:val="00B27CA8"/>
    <w:rsid w:val="00B27DE6"/>
    <w:rsid w:val="00B305AA"/>
    <w:rsid w:val="00B31445"/>
    <w:rsid w:val="00B3174B"/>
    <w:rsid w:val="00B34827"/>
    <w:rsid w:val="00B34915"/>
    <w:rsid w:val="00B37014"/>
    <w:rsid w:val="00B40BD9"/>
    <w:rsid w:val="00B41DEB"/>
    <w:rsid w:val="00B427C2"/>
    <w:rsid w:val="00B43BEB"/>
    <w:rsid w:val="00B44C8B"/>
    <w:rsid w:val="00B454AD"/>
    <w:rsid w:val="00B46DEE"/>
    <w:rsid w:val="00B47AE1"/>
    <w:rsid w:val="00B52D3A"/>
    <w:rsid w:val="00B539C8"/>
    <w:rsid w:val="00B541FD"/>
    <w:rsid w:val="00B5425A"/>
    <w:rsid w:val="00B54D75"/>
    <w:rsid w:val="00B5532C"/>
    <w:rsid w:val="00B55464"/>
    <w:rsid w:val="00B56172"/>
    <w:rsid w:val="00B61247"/>
    <w:rsid w:val="00B612FB"/>
    <w:rsid w:val="00B66B01"/>
    <w:rsid w:val="00B71332"/>
    <w:rsid w:val="00B7264F"/>
    <w:rsid w:val="00B72E67"/>
    <w:rsid w:val="00B73978"/>
    <w:rsid w:val="00B74228"/>
    <w:rsid w:val="00B75094"/>
    <w:rsid w:val="00B7544A"/>
    <w:rsid w:val="00B81296"/>
    <w:rsid w:val="00B81826"/>
    <w:rsid w:val="00B84C75"/>
    <w:rsid w:val="00B853CD"/>
    <w:rsid w:val="00B86060"/>
    <w:rsid w:val="00B86908"/>
    <w:rsid w:val="00B869DC"/>
    <w:rsid w:val="00B87A07"/>
    <w:rsid w:val="00B90DE0"/>
    <w:rsid w:val="00B92C9F"/>
    <w:rsid w:val="00B95336"/>
    <w:rsid w:val="00B95D5F"/>
    <w:rsid w:val="00B96428"/>
    <w:rsid w:val="00B97EE0"/>
    <w:rsid w:val="00BA0130"/>
    <w:rsid w:val="00BA0718"/>
    <w:rsid w:val="00BA1CA0"/>
    <w:rsid w:val="00BA1F7E"/>
    <w:rsid w:val="00BA2C00"/>
    <w:rsid w:val="00BA3823"/>
    <w:rsid w:val="00BA5E57"/>
    <w:rsid w:val="00BB10FF"/>
    <w:rsid w:val="00BC2541"/>
    <w:rsid w:val="00BC2BB2"/>
    <w:rsid w:val="00BC5CE5"/>
    <w:rsid w:val="00BC7086"/>
    <w:rsid w:val="00BD02D4"/>
    <w:rsid w:val="00BD227D"/>
    <w:rsid w:val="00BD4D12"/>
    <w:rsid w:val="00BE064C"/>
    <w:rsid w:val="00BE0F37"/>
    <w:rsid w:val="00BE1304"/>
    <w:rsid w:val="00BE2AEA"/>
    <w:rsid w:val="00BE34BA"/>
    <w:rsid w:val="00BE54B6"/>
    <w:rsid w:val="00BF027A"/>
    <w:rsid w:val="00BF13B6"/>
    <w:rsid w:val="00BF1E6C"/>
    <w:rsid w:val="00BF270F"/>
    <w:rsid w:val="00BF3370"/>
    <w:rsid w:val="00BF476E"/>
    <w:rsid w:val="00C02146"/>
    <w:rsid w:val="00C02BD8"/>
    <w:rsid w:val="00C02E36"/>
    <w:rsid w:val="00C03D5B"/>
    <w:rsid w:val="00C048D1"/>
    <w:rsid w:val="00C05BF7"/>
    <w:rsid w:val="00C06D2C"/>
    <w:rsid w:val="00C1084C"/>
    <w:rsid w:val="00C114A2"/>
    <w:rsid w:val="00C13656"/>
    <w:rsid w:val="00C142C7"/>
    <w:rsid w:val="00C22059"/>
    <w:rsid w:val="00C2266E"/>
    <w:rsid w:val="00C236E2"/>
    <w:rsid w:val="00C24341"/>
    <w:rsid w:val="00C24677"/>
    <w:rsid w:val="00C2548D"/>
    <w:rsid w:val="00C25FAD"/>
    <w:rsid w:val="00C27939"/>
    <w:rsid w:val="00C31B5D"/>
    <w:rsid w:val="00C32767"/>
    <w:rsid w:val="00C32FAE"/>
    <w:rsid w:val="00C338F5"/>
    <w:rsid w:val="00C34263"/>
    <w:rsid w:val="00C420DB"/>
    <w:rsid w:val="00C4303C"/>
    <w:rsid w:val="00C43F90"/>
    <w:rsid w:val="00C4535A"/>
    <w:rsid w:val="00C475A1"/>
    <w:rsid w:val="00C5523D"/>
    <w:rsid w:val="00C57844"/>
    <w:rsid w:val="00C57907"/>
    <w:rsid w:val="00C6075E"/>
    <w:rsid w:val="00C60A6E"/>
    <w:rsid w:val="00C638D1"/>
    <w:rsid w:val="00C644D0"/>
    <w:rsid w:val="00C66465"/>
    <w:rsid w:val="00C70354"/>
    <w:rsid w:val="00C7234E"/>
    <w:rsid w:val="00C73D19"/>
    <w:rsid w:val="00C76E52"/>
    <w:rsid w:val="00C76FE7"/>
    <w:rsid w:val="00C77A86"/>
    <w:rsid w:val="00C8110A"/>
    <w:rsid w:val="00C817A8"/>
    <w:rsid w:val="00C8275E"/>
    <w:rsid w:val="00C9016E"/>
    <w:rsid w:val="00C90D5C"/>
    <w:rsid w:val="00C912D7"/>
    <w:rsid w:val="00C95EDA"/>
    <w:rsid w:val="00C969FB"/>
    <w:rsid w:val="00CA099E"/>
    <w:rsid w:val="00CA551E"/>
    <w:rsid w:val="00CB0EB4"/>
    <w:rsid w:val="00CB4047"/>
    <w:rsid w:val="00CB431C"/>
    <w:rsid w:val="00CB52DB"/>
    <w:rsid w:val="00CB648F"/>
    <w:rsid w:val="00CC29A6"/>
    <w:rsid w:val="00CC2C9B"/>
    <w:rsid w:val="00CC2CD8"/>
    <w:rsid w:val="00CC42B6"/>
    <w:rsid w:val="00CC7BC3"/>
    <w:rsid w:val="00CD163E"/>
    <w:rsid w:val="00CD2A6E"/>
    <w:rsid w:val="00CD32A9"/>
    <w:rsid w:val="00CD4FDA"/>
    <w:rsid w:val="00CE1280"/>
    <w:rsid w:val="00CE1553"/>
    <w:rsid w:val="00CE22CA"/>
    <w:rsid w:val="00CE2C99"/>
    <w:rsid w:val="00CE2D43"/>
    <w:rsid w:val="00CE4BB3"/>
    <w:rsid w:val="00CE71F5"/>
    <w:rsid w:val="00CF01AE"/>
    <w:rsid w:val="00CF0A51"/>
    <w:rsid w:val="00CF139B"/>
    <w:rsid w:val="00CF19A9"/>
    <w:rsid w:val="00CF2076"/>
    <w:rsid w:val="00CF2B0A"/>
    <w:rsid w:val="00CF3F9B"/>
    <w:rsid w:val="00CF51DE"/>
    <w:rsid w:val="00CF557A"/>
    <w:rsid w:val="00D00E50"/>
    <w:rsid w:val="00D0289F"/>
    <w:rsid w:val="00D0293E"/>
    <w:rsid w:val="00D04637"/>
    <w:rsid w:val="00D065EB"/>
    <w:rsid w:val="00D06970"/>
    <w:rsid w:val="00D1164A"/>
    <w:rsid w:val="00D11EDD"/>
    <w:rsid w:val="00D122D0"/>
    <w:rsid w:val="00D14166"/>
    <w:rsid w:val="00D14398"/>
    <w:rsid w:val="00D15606"/>
    <w:rsid w:val="00D15AEB"/>
    <w:rsid w:val="00D20497"/>
    <w:rsid w:val="00D21878"/>
    <w:rsid w:val="00D22287"/>
    <w:rsid w:val="00D23572"/>
    <w:rsid w:val="00D2392F"/>
    <w:rsid w:val="00D2693C"/>
    <w:rsid w:val="00D2787A"/>
    <w:rsid w:val="00D30275"/>
    <w:rsid w:val="00D30A70"/>
    <w:rsid w:val="00D322C0"/>
    <w:rsid w:val="00D36489"/>
    <w:rsid w:val="00D40B98"/>
    <w:rsid w:val="00D440C9"/>
    <w:rsid w:val="00D45190"/>
    <w:rsid w:val="00D47818"/>
    <w:rsid w:val="00D51769"/>
    <w:rsid w:val="00D52B5F"/>
    <w:rsid w:val="00D53596"/>
    <w:rsid w:val="00D563EA"/>
    <w:rsid w:val="00D57590"/>
    <w:rsid w:val="00D60623"/>
    <w:rsid w:val="00D627C0"/>
    <w:rsid w:val="00D62EA1"/>
    <w:rsid w:val="00D63FFB"/>
    <w:rsid w:val="00D64E00"/>
    <w:rsid w:val="00D65373"/>
    <w:rsid w:val="00D6553D"/>
    <w:rsid w:val="00D65B1C"/>
    <w:rsid w:val="00D65C45"/>
    <w:rsid w:val="00D67BB1"/>
    <w:rsid w:val="00D70600"/>
    <w:rsid w:val="00D70A87"/>
    <w:rsid w:val="00D72C0D"/>
    <w:rsid w:val="00D73062"/>
    <w:rsid w:val="00D732CA"/>
    <w:rsid w:val="00D7434B"/>
    <w:rsid w:val="00D75206"/>
    <w:rsid w:val="00D75EE5"/>
    <w:rsid w:val="00D77017"/>
    <w:rsid w:val="00D77056"/>
    <w:rsid w:val="00D77358"/>
    <w:rsid w:val="00D83128"/>
    <w:rsid w:val="00D8545F"/>
    <w:rsid w:val="00D85B83"/>
    <w:rsid w:val="00D86C2F"/>
    <w:rsid w:val="00D87213"/>
    <w:rsid w:val="00D91D4C"/>
    <w:rsid w:val="00D9454D"/>
    <w:rsid w:val="00D95419"/>
    <w:rsid w:val="00D9744B"/>
    <w:rsid w:val="00DA05C4"/>
    <w:rsid w:val="00DA2F82"/>
    <w:rsid w:val="00DA3172"/>
    <w:rsid w:val="00DA369F"/>
    <w:rsid w:val="00DA5644"/>
    <w:rsid w:val="00DA643E"/>
    <w:rsid w:val="00DA66FB"/>
    <w:rsid w:val="00DA6D91"/>
    <w:rsid w:val="00DB06B3"/>
    <w:rsid w:val="00DB0BD1"/>
    <w:rsid w:val="00DB1575"/>
    <w:rsid w:val="00DB79CB"/>
    <w:rsid w:val="00DC18EE"/>
    <w:rsid w:val="00DC22A6"/>
    <w:rsid w:val="00DC2B04"/>
    <w:rsid w:val="00DD15A9"/>
    <w:rsid w:val="00DD537A"/>
    <w:rsid w:val="00DD5A72"/>
    <w:rsid w:val="00DD6432"/>
    <w:rsid w:val="00DD7978"/>
    <w:rsid w:val="00DE0EC6"/>
    <w:rsid w:val="00DE0FA5"/>
    <w:rsid w:val="00DE1B23"/>
    <w:rsid w:val="00DE2244"/>
    <w:rsid w:val="00DE4C1B"/>
    <w:rsid w:val="00DE4F5F"/>
    <w:rsid w:val="00DF083B"/>
    <w:rsid w:val="00DF1443"/>
    <w:rsid w:val="00DF198E"/>
    <w:rsid w:val="00DF1B3F"/>
    <w:rsid w:val="00DF2046"/>
    <w:rsid w:val="00DF2DAA"/>
    <w:rsid w:val="00DF76DD"/>
    <w:rsid w:val="00E0196E"/>
    <w:rsid w:val="00E0783B"/>
    <w:rsid w:val="00E10246"/>
    <w:rsid w:val="00E1107D"/>
    <w:rsid w:val="00E124D9"/>
    <w:rsid w:val="00E14A90"/>
    <w:rsid w:val="00E166F5"/>
    <w:rsid w:val="00E170A2"/>
    <w:rsid w:val="00E22425"/>
    <w:rsid w:val="00E23259"/>
    <w:rsid w:val="00E251FA"/>
    <w:rsid w:val="00E252D5"/>
    <w:rsid w:val="00E27636"/>
    <w:rsid w:val="00E30619"/>
    <w:rsid w:val="00E308CB"/>
    <w:rsid w:val="00E34163"/>
    <w:rsid w:val="00E35D3A"/>
    <w:rsid w:val="00E36BC6"/>
    <w:rsid w:val="00E3743A"/>
    <w:rsid w:val="00E43641"/>
    <w:rsid w:val="00E43AD8"/>
    <w:rsid w:val="00E452F7"/>
    <w:rsid w:val="00E46E67"/>
    <w:rsid w:val="00E4711C"/>
    <w:rsid w:val="00E511AC"/>
    <w:rsid w:val="00E51D94"/>
    <w:rsid w:val="00E53122"/>
    <w:rsid w:val="00E53790"/>
    <w:rsid w:val="00E56513"/>
    <w:rsid w:val="00E567B4"/>
    <w:rsid w:val="00E6071E"/>
    <w:rsid w:val="00E63172"/>
    <w:rsid w:val="00E63FED"/>
    <w:rsid w:val="00E666F1"/>
    <w:rsid w:val="00E706E5"/>
    <w:rsid w:val="00E70849"/>
    <w:rsid w:val="00E717E5"/>
    <w:rsid w:val="00E71F6F"/>
    <w:rsid w:val="00E728CC"/>
    <w:rsid w:val="00E73FD9"/>
    <w:rsid w:val="00E755F0"/>
    <w:rsid w:val="00E7572A"/>
    <w:rsid w:val="00E7654E"/>
    <w:rsid w:val="00E77877"/>
    <w:rsid w:val="00E77B2E"/>
    <w:rsid w:val="00E81329"/>
    <w:rsid w:val="00E81E49"/>
    <w:rsid w:val="00E83BFF"/>
    <w:rsid w:val="00E83E1D"/>
    <w:rsid w:val="00E866F5"/>
    <w:rsid w:val="00E8681F"/>
    <w:rsid w:val="00E9352D"/>
    <w:rsid w:val="00E94494"/>
    <w:rsid w:val="00E97BF3"/>
    <w:rsid w:val="00EA09B8"/>
    <w:rsid w:val="00EA40F1"/>
    <w:rsid w:val="00EA4171"/>
    <w:rsid w:val="00EA4862"/>
    <w:rsid w:val="00EA4E3C"/>
    <w:rsid w:val="00EA69C6"/>
    <w:rsid w:val="00EA7437"/>
    <w:rsid w:val="00EA7ABC"/>
    <w:rsid w:val="00EB3FAD"/>
    <w:rsid w:val="00EB6110"/>
    <w:rsid w:val="00EB71C5"/>
    <w:rsid w:val="00EC01FE"/>
    <w:rsid w:val="00EC432E"/>
    <w:rsid w:val="00EC4E88"/>
    <w:rsid w:val="00EC5ED0"/>
    <w:rsid w:val="00EC69AD"/>
    <w:rsid w:val="00EC7737"/>
    <w:rsid w:val="00EC7C29"/>
    <w:rsid w:val="00ED1B97"/>
    <w:rsid w:val="00ED53E2"/>
    <w:rsid w:val="00EE0AC2"/>
    <w:rsid w:val="00EE1C97"/>
    <w:rsid w:val="00EE32BC"/>
    <w:rsid w:val="00EE3F7E"/>
    <w:rsid w:val="00EE6091"/>
    <w:rsid w:val="00EE6E69"/>
    <w:rsid w:val="00EE7498"/>
    <w:rsid w:val="00EE765B"/>
    <w:rsid w:val="00EF429F"/>
    <w:rsid w:val="00EF6F70"/>
    <w:rsid w:val="00EF7AF1"/>
    <w:rsid w:val="00F0148C"/>
    <w:rsid w:val="00F01508"/>
    <w:rsid w:val="00F02D07"/>
    <w:rsid w:val="00F03033"/>
    <w:rsid w:val="00F06E6F"/>
    <w:rsid w:val="00F072D3"/>
    <w:rsid w:val="00F109A1"/>
    <w:rsid w:val="00F10D2F"/>
    <w:rsid w:val="00F113CC"/>
    <w:rsid w:val="00F120F5"/>
    <w:rsid w:val="00F14AFD"/>
    <w:rsid w:val="00F15CFA"/>
    <w:rsid w:val="00F1656E"/>
    <w:rsid w:val="00F205CF"/>
    <w:rsid w:val="00F21CE0"/>
    <w:rsid w:val="00F23637"/>
    <w:rsid w:val="00F23F96"/>
    <w:rsid w:val="00F308A3"/>
    <w:rsid w:val="00F3147F"/>
    <w:rsid w:val="00F33DFC"/>
    <w:rsid w:val="00F3439C"/>
    <w:rsid w:val="00F35648"/>
    <w:rsid w:val="00F4047A"/>
    <w:rsid w:val="00F41101"/>
    <w:rsid w:val="00F43E50"/>
    <w:rsid w:val="00F452FE"/>
    <w:rsid w:val="00F474FE"/>
    <w:rsid w:val="00F55B62"/>
    <w:rsid w:val="00F55B76"/>
    <w:rsid w:val="00F606CC"/>
    <w:rsid w:val="00F638CA"/>
    <w:rsid w:val="00F64B4D"/>
    <w:rsid w:val="00F663E8"/>
    <w:rsid w:val="00F665EA"/>
    <w:rsid w:val="00F677B2"/>
    <w:rsid w:val="00F70952"/>
    <w:rsid w:val="00F70E02"/>
    <w:rsid w:val="00F70FAF"/>
    <w:rsid w:val="00F73B54"/>
    <w:rsid w:val="00F741BC"/>
    <w:rsid w:val="00F7795A"/>
    <w:rsid w:val="00F810CF"/>
    <w:rsid w:val="00F82428"/>
    <w:rsid w:val="00F83C2A"/>
    <w:rsid w:val="00F84545"/>
    <w:rsid w:val="00F84F4A"/>
    <w:rsid w:val="00F85450"/>
    <w:rsid w:val="00F874B2"/>
    <w:rsid w:val="00F91A20"/>
    <w:rsid w:val="00F935CA"/>
    <w:rsid w:val="00F936FC"/>
    <w:rsid w:val="00F9490E"/>
    <w:rsid w:val="00F9571E"/>
    <w:rsid w:val="00FA0E24"/>
    <w:rsid w:val="00FA25D9"/>
    <w:rsid w:val="00FB0371"/>
    <w:rsid w:val="00FB2040"/>
    <w:rsid w:val="00FB5C95"/>
    <w:rsid w:val="00FB6D83"/>
    <w:rsid w:val="00FC70FC"/>
    <w:rsid w:val="00FD4870"/>
    <w:rsid w:val="00FD4BEC"/>
    <w:rsid w:val="00FD4D00"/>
    <w:rsid w:val="00FD4F9E"/>
    <w:rsid w:val="00FD6DFA"/>
    <w:rsid w:val="00FE0B04"/>
    <w:rsid w:val="00FE1ABB"/>
    <w:rsid w:val="00FE3671"/>
    <w:rsid w:val="00FE39AB"/>
    <w:rsid w:val="00FF037D"/>
    <w:rsid w:val="00FF23D0"/>
    <w:rsid w:val="00FF2E29"/>
    <w:rsid w:val="00FF3115"/>
    <w:rsid w:val="00FF421C"/>
    <w:rsid w:val="00FF5E22"/>
    <w:rsid w:val="00FF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3CD"/>
    <w:rPr>
      <w:sz w:val="24"/>
    </w:rPr>
  </w:style>
  <w:style w:type="paragraph" w:styleId="Heading1">
    <w:name w:val="heading 1"/>
    <w:basedOn w:val="Normal"/>
    <w:next w:val="Normal"/>
    <w:qFormat/>
    <w:rsid w:val="00F70952"/>
    <w:pPr>
      <w:keepNext/>
      <w:jc w:val="center"/>
      <w:outlineLvl w:val="0"/>
    </w:pPr>
    <w:rPr>
      <w:lang w:val="en-GB"/>
    </w:rPr>
  </w:style>
  <w:style w:type="paragraph" w:styleId="Heading2">
    <w:name w:val="heading 2"/>
    <w:basedOn w:val="Normal"/>
    <w:next w:val="Normal"/>
    <w:qFormat/>
    <w:rsid w:val="00F70952"/>
    <w:pPr>
      <w:keepNext/>
      <w:outlineLvl w:val="1"/>
    </w:pPr>
    <w:rPr>
      <w:b/>
      <w:bCs/>
      <w:sz w:val="44"/>
      <w:lang w:val="en-GB"/>
    </w:rPr>
  </w:style>
  <w:style w:type="paragraph" w:styleId="Heading3">
    <w:name w:val="heading 3"/>
    <w:basedOn w:val="Normal"/>
    <w:next w:val="Normal"/>
    <w:qFormat/>
    <w:rsid w:val="00F70952"/>
    <w:pPr>
      <w:keepNext/>
      <w:outlineLvl w:val="2"/>
    </w:pPr>
    <w:rPr>
      <w:sz w:val="40"/>
      <w:lang w:val="en-GB"/>
    </w:rPr>
  </w:style>
  <w:style w:type="paragraph" w:styleId="Heading4">
    <w:name w:val="heading 4"/>
    <w:basedOn w:val="Normal"/>
    <w:next w:val="Normal"/>
    <w:qFormat/>
    <w:rsid w:val="00F70952"/>
    <w:pPr>
      <w:keepNext/>
      <w:jc w:val="center"/>
      <w:outlineLvl w:val="3"/>
    </w:pPr>
    <w:rPr>
      <w:sz w:val="48"/>
      <w:lang w:val="en-GB"/>
    </w:rPr>
  </w:style>
  <w:style w:type="paragraph" w:styleId="Heading5">
    <w:name w:val="heading 5"/>
    <w:basedOn w:val="Normal"/>
    <w:next w:val="Normal"/>
    <w:qFormat/>
    <w:rsid w:val="00F70952"/>
    <w:pPr>
      <w:keepNext/>
      <w:outlineLvl w:val="4"/>
    </w:pPr>
    <w:rPr>
      <w:rFonts w:ascii="Arial" w:hAnsi="Arial" w:cs="Arial"/>
      <w:b/>
      <w:bCs/>
      <w:lang w:val="en-GB"/>
    </w:rPr>
  </w:style>
  <w:style w:type="paragraph" w:styleId="Heading6">
    <w:name w:val="heading 6"/>
    <w:basedOn w:val="Normal"/>
    <w:next w:val="Normal"/>
    <w:qFormat/>
    <w:rsid w:val="00F70952"/>
    <w:pPr>
      <w:keepNext/>
      <w:tabs>
        <w:tab w:val="left" w:pos="360"/>
        <w:tab w:val="left" w:pos="792"/>
        <w:tab w:val="left" w:pos="1080"/>
        <w:tab w:val="left" w:pos="4392"/>
      </w:tabs>
      <w:jc w:val="center"/>
      <w:outlineLvl w:val="5"/>
    </w:pPr>
    <w:rPr>
      <w:u w:val="single"/>
      <w:lang w:val="en-GB"/>
    </w:rPr>
  </w:style>
  <w:style w:type="paragraph" w:styleId="Heading7">
    <w:name w:val="heading 7"/>
    <w:basedOn w:val="Normal"/>
    <w:next w:val="Normal"/>
    <w:qFormat/>
    <w:rsid w:val="00F70952"/>
    <w:pPr>
      <w:keepNext/>
      <w:tabs>
        <w:tab w:val="left" w:pos="0"/>
        <w:tab w:val="left" w:pos="142"/>
        <w:tab w:val="right" w:pos="3960"/>
        <w:tab w:val="decimal" w:pos="5688"/>
        <w:tab w:val="decimal" w:pos="7272"/>
        <w:tab w:val="decimal" w:pos="8712"/>
        <w:tab w:val="decimal" w:pos="9864"/>
      </w:tabs>
      <w:ind w:left="-360"/>
      <w:outlineLvl w:val="6"/>
    </w:pPr>
    <w:rPr>
      <w:b/>
      <w:bCs/>
    </w:rPr>
  </w:style>
  <w:style w:type="paragraph" w:styleId="Heading8">
    <w:name w:val="heading 8"/>
    <w:basedOn w:val="Normal"/>
    <w:next w:val="Normal"/>
    <w:qFormat/>
    <w:rsid w:val="00F70952"/>
    <w:pPr>
      <w:keepNext/>
      <w:tabs>
        <w:tab w:val="left" w:pos="1800"/>
        <w:tab w:val="left" w:pos="2232"/>
        <w:tab w:val="left" w:pos="2520"/>
        <w:tab w:val="left" w:pos="3696"/>
        <w:tab w:val="right" w:pos="9000"/>
        <w:tab w:val="right" w:pos="11736"/>
      </w:tabs>
      <w:outlineLvl w:val="7"/>
    </w:pPr>
    <w:rPr>
      <w:lang w:val="en-GB"/>
    </w:rPr>
  </w:style>
  <w:style w:type="paragraph" w:styleId="Heading9">
    <w:name w:val="heading 9"/>
    <w:basedOn w:val="Normal"/>
    <w:next w:val="Normal"/>
    <w:qFormat/>
    <w:rsid w:val="00F70952"/>
    <w:pPr>
      <w:keepNext/>
      <w:tabs>
        <w:tab w:val="left" w:pos="567"/>
        <w:tab w:val="left" w:pos="3686"/>
        <w:tab w:val="left" w:pos="7088"/>
      </w:tabs>
      <w:ind w:left="-360"/>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BodyText"/>
    <w:rsid w:val="00F70952"/>
  </w:style>
  <w:style w:type="paragraph" w:styleId="BodyText">
    <w:name w:val="Body Text"/>
    <w:basedOn w:val="Normal"/>
    <w:link w:val="BodyTextChar"/>
    <w:rsid w:val="00F70952"/>
  </w:style>
  <w:style w:type="paragraph" w:styleId="PlainText">
    <w:name w:val="Plain Text"/>
    <w:basedOn w:val="Normal"/>
    <w:link w:val="PlainTextChar"/>
    <w:uiPriority w:val="99"/>
    <w:rsid w:val="00F70952"/>
    <w:rPr>
      <w:rFonts w:ascii="Courier New" w:hAnsi="Courier New"/>
      <w:sz w:val="20"/>
    </w:rPr>
  </w:style>
  <w:style w:type="paragraph" w:styleId="BodyText2">
    <w:name w:val="Body Text 2"/>
    <w:basedOn w:val="Normal"/>
    <w:rsid w:val="00F70952"/>
    <w:pPr>
      <w:spacing w:line="360" w:lineRule="auto"/>
      <w:jc w:val="both"/>
    </w:pPr>
    <w:rPr>
      <w:rFonts w:ascii="Arial" w:hAnsi="Arial" w:cs="Arial"/>
      <w:lang w:val="en-GB"/>
    </w:rPr>
  </w:style>
  <w:style w:type="character" w:styleId="PageNumber">
    <w:name w:val="page number"/>
    <w:basedOn w:val="DefaultParagraphFont"/>
    <w:rsid w:val="00F70952"/>
  </w:style>
  <w:style w:type="paragraph" w:styleId="Footer">
    <w:name w:val="footer"/>
    <w:basedOn w:val="Normal"/>
    <w:link w:val="FooterChar"/>
    <w:rsid w:val="00F70952"/>
    <w:pPr>
      <w:tabs>
        <w:tab w:val="center" w:pos="4153"/>
        <w:tab w:val="right" w:pos="8306"/>
      </w:tabs>
    </w:pPr>
    <w:rPr>
      <w:sz w:val="20"/>
    </w:rPr>
  </w:style>
  <w:style w:type="paragraph" w:styleId="Header">
    <w:name w:val="header"/>
    <w:basedOn w:val="Normal"/>
    <w:rsid w:val="00F70952"/>
    <w:pPr>
      <w:tabs>
        <w:tab w:val="center" w:pos="4320"/>
        <w:tab w:val="right" w:pos="8640"/>
      </w:tabs>
    </w:pPr>
  </w:style>
  <w:style w:type="paragraph" w:styleId="BodyTextIndent">
    <w:name w:val="Body Text Indent"/>
    <w:basedOn w:val="Normal"/>
    <w:rsid w:val="00F70952"/>
    <w:pPr>
      <w:tabs>
        <w:tab w:val="left" w:pos="0"/>
        <w:tab w:val="left" w:pos="431"/>
        <w:tab w:val="left" w:pos="862"/>
        <w:tab w:val="left" w:pos="1730"/>
      </w:tabs>
      <w:ind w:left="435"/>
    </w:pPr>
    <w:rPr>
      <w:lang w:val="en-GB"/>
    </w:rPr>
  </w:style>
  <w:style w:type="paragraph" w:styleId="BodyTextIndent3">
    <w:name w:val="Body Text Indent 3"/>
    <w:basedOn w:val="Normal"/>
    <w:rsid w:val="00F70952"/>
    <w:pPr>
      <w:tabs>
        <w:tab w:val="left" w:pos="0"/>
        <w:tab w:val="left" w:pos="142"/>
        <w:tab w:val="decimal" w:pos="6118"/>
        <w:tab w:val="decimal" w:pos="7847"/>
        <w:tab w:val="decimal" w:pos="9577"/>
      </w:tabs>
      <w:ind w:left="426" w:hanging="6"/>
    </w:pPr>
    <w:rPr>
      <w:lang w:val="en-GB"/>
    </w:rPr>
  </w:style>
  <w:style w:type="character" w:styleId="Hyperlink">
    <w:name w:val="Hyperlink"/>
    <w:rsid w:val="00F70952"/>
    <w:rPr>
      <w:color w:val="0000FF"/>
      <w:u w:val="single"/>
    </w:rPr>
  </w:style>
  <w:style w:type="paragraph" w:styleId="BlockText">
    <w:name w:val="Block Text"/>
    <w:basedOn w:val="Normal"/>
    <w:rsid w:val="00F70952"/>
    <w:pPr>
      <w:tabs>
        <w:tab w:val="left" w:pos="431"/>
        <w:tab w:val="left" w:pos="1080"/>
        <w:tab w:val="left" w:pos="1656"/>
        <w:tab w:val="right" w:pos="5688"/>
        <w:tab w:val="decimal" w:pos="7272"/>
        <w:tab w:val="right" w:pos="8568"/>
        <w:tab w:val="right" w:pos="9072"/>
      </w:tabs>
      <w:ind w:left="-360" w:right="849"/>
    </w:pPr>
  </w:style>
  <w:style w:type="character" w:styleId="FollowedHyperlink">
    <w:name w:val="FollowedHyperlink"/>
    <w:rsid w:val="00F70952"/>
    <w:rPr>
      <w:color w:val="800080"/>
      <w:u w:val="single"/>
    </w:rPr>
  </w:style>
  <w:style w:type="paragraph" w:styleId="BodyTextIndent2">
    <w:name w:val="Body Text Indent 2"/>
    <w:basedOn w:val="Normal"/>
    <w:rsid w:val="00F70952"/>
    <w:pPr>
      <w:tabs>
        <w:tab w:val="left" w:pos="0"/>
        <w:tab w:val="left" w:pos="431"/>
        <w:tab w:val="left" w:pos="862"/>
        <w:tab w:val="left" w:pos="1730"/>
      </w:tabs>
      <w:ind w:left="435"/>
      <w:jc w:val="both"/>
    </w:pPr>
  </w:style>
  <w:style w:type="paragraph" w:customStyle="1" w:styleId="xl24">
    <w:name w:val="xl24"/>
    <w:basedOn w:val="Normal"/>
    <w:rsid w:val="00F70952"/>
    <w:pPr>
      <w:shd w:val="clear" w:color="auto" w:fill="FFFFFF"/>
      <w:spacing w:before="100" w:beforeAutospacing="1" w:after="100" w:afterAutospacing="1"/>
    </w:pPr>
    <w:rPr>
      <w:rFonts w:ascii="Arial" w:hAnsi="Arial" w:cs="Arial"/>
      <w:b/>
      <w:bCs/>
      <w:sz w:val="16"/>
      <w:szCs w:val="16"/>
      <w:lang w:val="en-GB"/>
    </w:rPr>
  </w:style>
  <w:style w:type="paragraph" w:customStyle="1" w:styleId="xl25">
    <w:name w:val="xl25"/>
    <w:basedOn w:val="Normal"/>
    <w:rsid w:val="00F70952"/>
    <w:pPr>
      <w:shd w:val="clear" w:color="auto" w:fill="FFFFFF"/>
      <w:spacing w:before="100" w:beforeAutospacing="1" w:after="100" w:afterAutospacing="1"/>
    </w:pPr>
    <w:rPr>
      <w:rFonts w:ascii="Arial" w:hAnsi="Arial" w:cs="Arial"/>
      <w:sz w:val="16"/>
      <w:szCs w:val="16"/>
      <w:lang w:val="en-GB"/>
    </w:rPr>
  </w:style>
  <w:style w:type="paragraph" w:customStyle="1" w:styleId="xl26">
    <w:name w:val="xl26"/>
    <w:basedOn w:val="Normal"/>
    <w:rsid w:val="00F70952"/>
    <w:pPr>
      <w:shd w:val="clear" w:color="auto" w:fill="FFFFFF"/>
      <w:spacing w:before="100" w:beforeAutospacing="1" w:after="100" w:afterAutospacing="1"/>
      <w:jc w:val="center"/>
    </w:pPr>
    <w:rPr>
      <w:rFonts w:ascii="Arial" w:hAnsi="Arial" w:cs="Arial"/>
      <w:sz w:val="16"/>
      <w:szCs w:val="16"/>
      <w:lang w:val="en-GB"/>
    </w:rPr>
  </w:style>
  <w:style w:type="paragraph" w:customStyle="1" w:styleId="xl27">
    <w:name w:val="xl27"/>
    <w:basedOn w:val="Normal"/>
    <w:rsid w:val="00F70952"/>
    <w:pPr>
      <w:shd w:val="clear" w:color="auto" w:fill="FFFFFF"/>
      <w:spacing w:before="100" w:beforeAutospacing="1" w:after="100" w:afterAutospacing="1"/>
      <w:jc w:val="right"/>
    </w:pPr>
    <w:rPr>
      <w:rFonts w:ascii="Arial" w:hAnsi="Arial" w:cs="Arial"/>
      <w:sz w:val="16"/>
      <w:szCs w:val="16"/>
      <w:lang w:val="en-GB"/>
    </w:rPr>
  </w:style>
  <w:style w:type="paragraph" w:customStyle="1" w:styleId="xl28">
    <w:name w:val="xl28"/>
    <w:basedOn w:val="Normal"/>
    <w:rsid w:val="00F70952"/>
    <w:pPr>
      <w:shd w:val="clear" w:color="auto" w:fill="FFFFFF"/>
      <w:spacing w:before="100" w:beforeAutospacing="1" w:after="100" w:afterAutospacing="1"/>
    </w:pPr>
    <w:rPr>
      <w:rFonts w:ascii="Arial" w:hAnsi="Arial" w:cs="Arial"/>
      <w:sz w:val="16"/>
      <w:szCs w:val="16"/>
      <w:lang w:val="en-GB"/>
    </w:rPr>
  </w:style>
  <w:style w:type="paragraph" w:customStyle="1" w:styleId="xl29">
    <w:name w:val="xl29"/>
    <w:basedOn w:val="Normal"/>
    <w:rsid w:val="00F7095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en-GB"/>
    </w:rPr>
  </w:style>
  <w:style w:type="paragraph" w:customStyle="1" w:styleId="xl30">
    <w:name w:val="xl30"/>
    <w:basedOn w:val="Normal"/>
    <w:rsid w:val="00F70952"/>
    <w:pPr>
      <w:pBdr>
        <w:bottom w:val="single" w:sz="4" w:space="0" w:color="auto"/>
      </w:pBdr>
      <w:shd w:val="clear" w:color="auto" w:fill="FFFFFF"/>
      <w:spacing w:before="100" w:beforeAutospacing="1" w:after="100" w:afterAutospacing="1"/>
    </w:pPr>
    <w:rPr>
      <w:rFonts w:ascii="Arial" w:hAnsi="Arial" w:cs="Arial"/>
      <w:sz w:val="16"/>
      <w:szCs w:val="16"/>
      <w:lang w:val="en-GB"/>
    </w:rPr>
  </w:style>
  <w:style w:type="paragraph" w:customStyle="1" w:styleId="xl31">
    <w:name w:val="xl31"/>
    <w:basedOn w:val="Normal"/>
    <w:rsid w:val="00F70952"/>
    <w:pPr>
      <w:pBdr>
        <w:top w:val="single" w:sz="4" w:space="0" w:color="auto"/>
        <w:bottom w:val="single" w:sz="8" w:space="0" w:color="auto"/>
      </w:pBdr>
      <w:shd w:val="clear" w:color="auto" w:fill="FFFFFF"/>
      <w:spacing w:before="100" w:beforeAutospacing="1" w:after="100" w:afterAutospacing="1"/>
    </w:pPr>
    <w:rPr>
      <w:rFonts w:ascii="Arial" w:hAnsi="Arial" w:cs="Arial"/>
      <w:sz w:val="16"/>
      <w:szCs w:val="16"/>
      <w:lang w:val="en-GB"/>
    </w:rPr>
  </w:style>
  <w:style w:type="paragraph" w:customStyle="1" w:styleId="xl32">
    <w:name w:val="xl32"/>
    <w:basedOn w:val="Normal"/>
    <w:rsid w:val="00F70952"/>
    <w:pPr>
      <w:shd w:val="clear" w:color="auto" w:fill="FFFFFF"/>
      <w:spacing w:before="100" w:beforeAutospacing="1" w:after="100" w:afterAutospacing="1"/>
      <w:jc w:val="right"/>
    </w:pPr>
    <w:rPr>
      <w:rFonts w:ascii="Arial" w:hAnsi="Arial" w:cs="Arial"/>
      <w:sz w:val="16"/>
      <w:szCs w:val="16"/>
      <w:lang w:val="en-GB"/>
    </w:rPr>
  </w:style>
  <w:style w:type="paragraph" w:customStyle="1" w:styleId="xl33">
    <w:name w:val="xl33"/>
    <w:basedOn w:val="Normal"/>
    <w:rsid w:val="00F70952"/>
    <w:pPr>
      <w:shd w:val="clear" w:color="auto" w:fill="FFFFFF"/>
      <w:spacing w:before="100" w:beforeAutospacing="1" w:after="100" w:afterAutospacing="1"/>
      <w:jc w:val="center"/>
    </w:pPr>
    <w:rPr>
      <w:rFonts w:ascii="Arial" w:hAnsi="Arial" w:cs="Arial"/>
      <w:sz w:val="16"/>
      <w:szCs w:val="16"/>
      <w:lang w:val="en-GB"/>
    </w:rPr>
  </w:style>
  <w:style w:type="paragraph" w:customStyle="1" w:styleId="xl34">
    <w:name w:val="xl34"/>
    <w:basedOn w:val="Normal"/>
    <w:rsid w:val="00F70952"/>
    <w:pPr>
      <w:shd w:val="clear" w:color="auto" w:fill="FFFFFF"/>
      <w:spacing w:before="100" w:beforeAutospacing="1" w:after="100" w:afterAutospacing="1"/>
      <w:jc w:val="right"/>
    </w:pPr>
    <w:rPr>
      <w:rFonts w:ascii="Arial" w:hAnsi="Arial" w:cs="Arial"/>
      <w:sz w:val="16"/>
      <w:szCs w:val="16"/>
      <w:lang w:val="en-GB"/>
    </w:rPr>
  </w:style>
  <w:style w:type="paragraph" w:customStyle="1" w:styleId="xl35">
    <w:name w:val="xl35"/>
    <w:basedOn w:val="Normal"/>
    <w:rsid w:val="00F70952"/>
    <w:pPr>
      <w:shd w:val="clear" w:color="auto" w:fill="FFFFFF"/>
      <w:spacing w:before="100" w:beforeAutospacing="1" w:after="100" w:afterAutospacing="1"/>
      <w:jc w:val="right"/>
    </w:pPr>
    <w:rPr>
      <w:rFonts w:ascii="Arial" w:hAnsi="Arial" w:cs="Arial"/>
      <w:b/>
      <w:bCs/>
      <w:sz w:val="16"/>
      <w:szCs w:val="16"/>
      <w:lang w:val="en-GB"/>
    </w:rPr>
  </w:style>
  <w:style w:type="paragraph" w:customStyle="1" w:styleId="xl36">
    <w:name w:val="xl36"/>
    <w:basedOn w:val="Normal"/>
    <w:rsid w:val="00F70952"/>
    <w:pPr>
      <w:shd w:val="clear" w:color="auto" w:fill="FFFFFF"/>
      <w:spacing w:before="100" w:beforeAutospacing="1" w:after="100" w:afterAutospacing="1"/>
      <w:jc w:val="center"/>
    </w:pPr>
    <w:rPr>
      <w:rFonts w:ascii="Arial" w:hAnsi="Arial" w:cs="Arial"/>
      <w:b/>
      <w:bCs/>
      <w:sz w:val="16"/>
      <w:szCs w:val="16"/>
      <w:lang w:val="en-GB"/>
    </w:rPr>
  </w:style>
  <w:style w:type="paragraph" w:customStyle="1" w:styleId="xl37">
    <w:name w:val="xl37"/>
    <w:basedOn w:val="Normal"/>
    <w:rsid w:val="00F70952"/>
    <w:pPr>
      <w:shd w:val="clear" w:color="auto" w:fill="FFFFFF"/>
      <w:spacing w:before="100" w:beforeAutospacing="1" w:after="100" w:afterAutospacing="1"/>
      <w:jc w:val="right"/>
    </w:pPr>
    <w:rPr>
      <w:rFonts w:ascii="Arial" w:hAnsi="Arial" w:cs="Arial"/>
      <w:b/>
      <w:bCs/>
      <w:sz w:val="16"/>
      <w:szCs w:val="16"/>
      <w:lang w:val="en-GB"/>
    </w:rPr>
  </w:style>
  <w:style w:type="paragraph" w:customStyle="1" w:styleId="xl38">
    <w:name w:val="xl38"/>
    <w:basedOn w:val="Normal"/>
    <w:rsid w:val="00F70952"/>
    <w:pPr>
      <w:shd w:val="clear" w:color="auto" w:fill="FFFFFF"/>
      <w:spacing w:before="100" w:beforeAutospacing="1" w:after="100" w:afterAutospacing="1"/>
      <w:jc w:val="right"/>
    </w:pPr>
    <w:rPr>
      <w:rFonts w:ascii="Arial" w:hAnsi="Arial" w:cs="Arial"/>
      <w:b/>
      <w:bCs/>
      <w:sz w:val="16"/>
      <w:szCs w:val="16"/>
      <w:lang w:val="en-GB"/>
    </w:rPr>
  </w:style>
  <w:style w:type="paragraph" w:customStyle="1" w:styleId="xl39">
    <w:name w:val="xl39"/>
    <w:basedOn w:val="Normal"/>
    <w:rsid w:val="00F70952"/>
    <w:pPr>
      <w:shd w:val="clear" w:color="auto" w:fill="FFFFFF"/>
      <w:spacing w:before="100" w:beforeAutospacing="1" w:after="100" w:afterAutospacing="1"/>
      <w:jc w:val="center"/>
    </w:pPr>
    <w:rPr>
      <w:rFonts w:ascii="Arial" w:hAnsi="Arial" w:cs="Arial"/>
      <w:b/>
      <w:bCs/>
      <w:sz w:val="16"/>
      <w:szCs w:val="16"/>
      <w:lang w:val="en-GB"/>
    </w:rPr>
  </w:style>
  <w:style w:type="paragraph" w:customStyle="1" w:styleId="xl40">
    <w:name w:val="xl40"/>
    <w:basedOn w:val="Normal"/>
    <w:rsid w:val="00F70952"/>
    <w:pPr>
      <w:shd w:val="clear" w:color="auto" w:fill="FFFFFF"/>
      <w:spacing w:before="100" w:beforeAutospacing="1" w:after="100" w:afterAutospacing="1"/>
    </w:pPr>
    <w:rPr>
      <w:rFonts w:ascii="Arial" w:hAnsi="Arial" w:cs="Arial"/>
      <w:b/>
      <w:bCs/>
      <w:sz w:val="16"/>
      <w:szCs w:val="16"/>
      <w:lang w:val="en-GB"/>
    </w:rPr>
  </w:style>
  <w:style w:type="paragraph" w:customStyle="1" w:styleId="xl41">
    <w:name w:val="xl41"/>
    <w:basedOn w:val="Normal"/>
    <w:rsid w:val="00F7095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en-GB"/>
    </w:rPr>
  </w:style>
  <w:style w:type="paragraph" w:styleId="BodyText3">
    <w:name w:val="Body Text 3"/>
    <w:basedOn w:val="Normal"/>
    <w:rsid w:val="00F70952"/>
    <w:pPr>
      <w:jc w:val="both"/>
    </w:pPr>
    <w:rPr>
      <w:rFonts w:ascii="Arial" w:hAnsi="Arial" w:cs="Arial"/>
      <w:i/>
      <w:iCs/>
    </w:rPr>
  </w:style>
  <w:style w:type="paragraph" w:styleId="HTMLPreformatted">
    <w:name w:val="HTML Preformatted"/>
    <w:basedOn w:val="Normal"/>
    <w:link w:val="HTMLPreformattedChar"/>
    <w:rsid w:val="00F70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18"/>
      <w:szCs w:val="18"/>
      <w:lang w:val="en-GB"/>
    </w:rPr>
  </w:style>
  <w:style w:type="paragraph" w:customStyle="1" w:styleId="xl42">
    <w:name w:val="xl42"/>
    <w:basedOn w:val="Normal"/>
    <w:rsid w:val="00F70952"/>
    <w:pPr>
      <w:shd w:val="clear" w:color="auto" w:fill="FFFFFF"/>
      <w:spacing w:before="100" w:beforeAutospacing="1" w:after="100" w:afterAutospacing="1"/>
    </w:pPr>
    <w:rPr>
      <w:rFonts w:ascii="Arial" w:eastAsia="Arial Unicode MS" w:hAnsi="Arial" w:cs="Arial"/>
      <w:b/>
      <w:bCs/>
      <w:sz w:val="16"/>
      <w:szCs w:val="16"/>
      <w:lang w:val="en-GB"/>
    </w:rPr>
  </w:style>
  <w:style w:type="paragraph" w:customStyle="1" w:styleId="xl43">
    <w:name w:val="xl43"/>
    <w:basedOn w:val="Normal"/>
    <w:rsid w:val="00F7095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16"/>
      <w:szCs w:val="16"/>
      <w:lang w:val="en-GB"/>
    </w:rPr>
  </w:style>
  <w:style w:type="paragraph" w:customStyle="1" w:styleId="xl44">
    <w:name w:val="xl44"/>
    <w:basedOn w:val="Normal"/>
    <w:rsid w:val="00F7095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16"/>
      <w:szCs w:val="16"/>
      <w:lang w:val="en-GB"/>
    </w:rPr>
  </w:style>
  <w:style w:type="paragraph" w:customStyle="1" w:styleId="xl45">
    <w:name w:val="xl45"/>
    <w:basedOn w:val="Normal"/>
    <w:rsid w:val="00F70952"/>
    <w:pPr>
      <w:pBdr>
        <w:bottom w:val="single" w:sz="4" w:space="0" w:color="auto"/>
      </w:pBdr>
      <w:shd w:val="clear" w:color="auto" w:fill="FFFFFF"/>
      <w:spacing w:before="100" w:beforeAutospacing="1" w:after="100" w:afterAutospacing="1"/>
    </w:pPr>
    <w:rPr>
      <w:rFonts w:ascii="Arial" w:eastAsia="Arial Unicode MS" w:hAnsi="Arial" w:cs="Arial"/>
      <w:b/>
      <w:bCs/>
      <w:sz w:val="16"/>
      <w:szCs w:val="16"/>
      <w:lang w:val="en-GB"/>
    </w:rPr>
  </w:style>
  <w:style w:type="paragraph" w:customStyle="1" w:styleId="xl46">
    <w:name w:val="xl46"/>
    <w:basedOn w:val="Normal"/>
    <w:rsid w:val="00F70952"/>
    <w:pPr>
      <w:pBdr>
        <w:top w:val="single" w:sz="4" w:space="0" w:color="auto"/>
        <w:bottom w:val="single" w:sz="8" w:space="0" w:color="auto"/>
      </w:pBdr>
      <w:shd w:val="clear" w:color="auto" w:fill="FFFFFF"/>
      <w:spacing w:before="100" w:beforeAutospacing="1" w:after="100" w:afterAutospacing="1"/>
    </w:pPr>
    <w:rPr>
      <w:rFonts w:ascii="Arial" w:eastAsia="Arial Unicode MS" w:hAnsi="Arial" w:cs="Arial"/>
      <w:b/>
      <w:bCs/>
      <w:sz w:val="16"/>
      <w:szCs w:val="16"/>
      <w:lang w:val="en-GB"/>
    </w:rPr>
  </w:style>
  <w:style w:type="paragraph" w:customStyle="1" w:styleId="xl47">
    <w:name w:val="xl47"/>
    <w:basedOn w:val="Normal"/>
    <w:rsid w:val="00F70952"/>
    <w:pPr>
      <w:shd w:val="clear" w:color="auto" w:fill="FFFFFF"/>
      <w:spacing w:before="100" w:beforeAutospacing="1" w:after="100" w:afterAutospacing="1"/>
    </w:pPr>
    <w:rPr>
      <w:rFonts w:ascii="Arial" w:eastAsia="Arial Unicode MS" w:hAnsi="Arial" w:cs="Arial"/>
      <w:sz w:val="16"/>
      <w:szCs w:val="16"/>
      <w:lang w:val="en-GB"/>
    </w:rPr>
  </w:style>
  <w:style w:type="paragraph" w:customStyle="1" w:styleId="xl48">
    <w:name w:val="xl48"/>
    <w:basedOn w:val="Normal"/>
    <w:rsid w:val="00F70952"/>
    <w:pPr>
      <w:pBdr>
        <w:bottom w:val="single" w:sz="4" w:space="0" w:color="auto"/>
      </w:pBdr>
      <w:shd w:val="clear" w:color="auto" w:fill="FFFFFF"/>
      <w:spacing w:before="100" w:beforeAutospacing="1" w:after="100" w:afterAutospacing="1"/>
      <w:jc w:val="right"/>
    </w:pPr>
    <w:rPr>
      <w:rFonts w:ascii="Arial" w:eastAsia="Arial Unicode MS" w:hAnsi="Arial" w:cs="Arial"/>
      <w:b/>
      <w:bCs/>
      <w:sz w:val="16"/>
      <w:szCs w:val="16"/>
      <w:lang w:val="en-GB"/>
    </w:rPr>
  </w:style>
  <w:style w:type="paragraph" w:customStyle="1" w:styleId="xl49">
    <w:name w:val="xl49"/>
    <w:basedOn w:val="Normal"/>
    <w:rsid w:val="00F70952"/>
    <w:pPr>
      <w:pBdr>
        <w:bottom w:val="single" w:sz="4" w:space="0" w:color="auto"/>
      </w:pBdr>
      <w:shd w:val="clear" w:color="auto" w:fill="FFFFFF"/>
      <w:spacing w:before="100" w:beforeAutospacing="1" w:after="100" w:afterAutospacing="1"/>
      <w:jc w:val="right"/>
    </w:pPr>
    <w:rPr>
      <w:rFonts w:ascii="Arial" w:eastAsia="Arial Unicode MS" w:hAnsi="Arial" w:cs="Arial"/>
      <w:sz w:val="16"/>
      <w:szCs w:val="16"/>
      <w:lang w:val="en-GB"/>
    </w:rPr>
  </w:style>
  <w:style w:type="paragraph" w:customStyle="1" w:styleId="font5">
    <w:name w:val="font5"/>
    <w:basedOn w:val="Normal"/>
    <w:rsid w:val="00F70952"/>
    <w:pPr>
      <w:spacing w:before="100" w:beforeAutospacing="1" w:after="100" w:afterAutospacing="1"/>
    </w:pPr>
    <w:rPr>
      <w:rFonts w:ascii="Arial" w:hAnsi="Arial" w:cs="Arial"/>
      <w:b/>
      <w:bCs/>
      <w:sz w:val="16"/>
      <w:szCs w:val="16"/>
      <w:lang w:val="en-GB"/>
    </w:rPr>
  </w:style>
  <w:style w:type="paragraph" w:customStyle="1" w:styleId="font6">
    <w:name w:val="font6"/>
    <w:basedOn w:val="Normal"/>
    <w:rsid w:val="00F70952"/>
    <w:pPr>
      <w:spacing w:before="100" w:beforeAutospacing="1" w:after="100" w:afterAutospacing="1"/>
    </w:pPr>
    <w:rPr>
      <w:rFonts w:ascii="Arial" w:hAnsi="Arial" w:cs="Arial"/>
      <w:sz w:val="16"/>
      <w:szCs w:val="16"/>
      <w:lang w:val="en-GB"/>
    </w:rPr>
  </w:style>
  <w:style w:type="paragraph" w:customStyle="1" w:styleId="xl50">
    <w:name w:val="xl50"/>
    <w:basedOn w:val="Normal"/>
    <w:rsid w:val="00F70952"/>
    <w:pPr>
      <w:shd w:val="clear" w:color="auto" w:fill="FFFFFF"/>
      <w:spacing w:before="100" w:beforeAutospacing="1" w:after="100" w:afterAutospacing="1"/>
    </w:pPr>
    <w:rPr>
      <w:rFonts w:ascii="Arial" w:hAnsi="Arial" w:cs="Arial"/>
      <w:b/>
      <w:bCs/>
      <w:sz w:val="18"/>
      <w:szCs w:val="18"/>
      <w:lang w:val="en-GB"/>
    </w:rPr>
  </w:style>
  <w:style w:type="paragraph" w:customStyle="1" w:styleId="xl51">
    <w:name w:val="xl51"/>
    <w:basedOn w:val="Normal"/>
    <w:rsid w:val="00F70952"/>
    <w:pPr>
      <w:shd w:val="clear" w:color="auto" w:fill="FFFFFF"/>
      <w:spacing w:before="100" w:beforeAutospacing="1" w:after="100" w:afterAutospacing="1"/>
    </w:pPr>
    <w:rPr>
      <w:rFonts w:ascii="Arial" w:hAnsi="Arial" w:cs="Arial"/>
      <w:b/>
      <w:bCs/>
      <w:sz w:val="16"/>
      <w:szCs w:val="16"/>
      <w:lang w:val="en-GB"/>
    </w:rPr>
  </w:style>
  <w:style w:type="character" w:customStyle="1" w:styleId="STANDARD1">
    <w:name w:val="STANDARD 1"/>
    <w:basedOn w:val="DefaultParagraphFont"/>
    <w:rsid w:val="00F70952"/>
  </w:style>
  <w:style w:type="paragraph" w:styleId="Subtitle">
    <w:name w:val="Subtitle"/>
    <w:basedOn w:val="Normal"/>
    <w:qFormat/>
    <w:rsid w:val="00F70952"/>
    <w:rPr>
      <w:b/>
      <w:bCs/>
      <w:szCs w:val="24"/>
      <w:lang w:val="en-GB"/>
    </w:rPr>
  </w:style>
  <w:style w:type="paragraph" w:styleId="NormalWeb">
    <w:name w:val="Normal (Web)"/>
    <w:basedOn w:val="Normal"/>
    <w:rsid w:val="00F70952"/>
    <w:pPr>
      <w:spacing w:before="100" w:beforeAutospacing="1" w:after="100" w:afterAutospacing="1"/>
    </w:pPr>
    <w:rPr>
      <w:rFonts w:ascii="Arial Unicode MS" w:hAnsi="Arial Unicode MS"/>
      <w:szCs w:val="24"/>
      <w:lang w:val="en-GB"/>
    </w:rPr>
  </w:style>
  <w:style w:type="paragraph" w:customStyle="1" w:styleId="Normal0">
    <w:name w:val="[Normal]"/>
    <w:rsid w:val="00F70952"/>
    <w:pPr>
      <w:autoSpaceDE w:val="0"/>
      <w:autoSpaceDN w:val="0"/>
      <w:adjustRightInd w:val="0"/>
    </w:pPr>
    <w:rPr>
      <w:rFonts w:ascii="Arial" w:hAnsi="Arial" w:cs="Arial"/>
      <w:sz w:val="24"/>
      <w:szCs w:val="24"/>
    </w:rPr>
  </w:style>
  <w:style w:type="character" w:styleId="Strong">
    <w:name w:val="Strong"/>
    <w:qFormat/>
    <w:rsid w:val="00F70952"/>
    <w:rPr>
      <w:b/>
      <w:bCs/>
    </w:rPr>
  </w:style>
  <w:style w:type="character" w:customStyle="1" w:styleId="PlainTextChar">
    <w:name w:val="Plain Text Char"/>
    <w:link w:val="PlainText"/>
    <w:uiPriority w:val="99"/>
    <w:rsid w:val="00B31445"/>
    <w:rPr>
      <w:rFonts w:ascii="Courier New" w:hAnsi="Courier New"/>
    </w:rPr>
  </w:style>
  <w:style w:type="character" w:customStyle="1" w:styleId="HTMLPreformattedChar">
    <w:name w:val="HTML Preformatted Char"/>
    <w:link w:val="HTMLPreformatted"/>
    <w:rsid w:val="00B31445"/>
    <w:rPr>
      <w:rFonts w:ascii="Courier New" w:eastAsia="Courier New" w:hAnsi="Courier New" w:cs="Courier New"/>
      <w:color w:val="000000"/>
      <w:sz w:val="18"/>
      <w:szCs w:val="18"/>
      <w:lang w:val="en-GB"/>
    </w:rPr>
  </w:style>
  <w:style w:type="paragraph" w:customStyle="1" w:styleId="style1">
    <w:name w:val="style1"/>
    <w:basedOn w:val="Normal"/>
    <w:rsid w:val="00B31445"/>
    <w:pPr>
      <w:spacing w:before="100" w:beforeAutospacing="1" w:after="100" w:afterAutospacing="1"/>
    </w:pPr>
    <w:rPr>
      <w:rFonts w:ascii="Verdana" w:hAnsi="Verdana"/>
      <w:b/>
      <w:bCs/>
      <w:color w:val="000000"/>
      <w:sz w:val="20"/>
    </w:rPr>
  </w:style>
  <w:style w:type="paragraph" w:styleId="BalloonText">
    <w:name w:val="Balloon Text"/>
    <w:basedOn w:val="Normal"/>
    <w:link w:val="BalloonTextChar"/>
    <w:rsid w:val="00312858"/>
    <w:rPr>
      <w:rFonts w:ascii="Tahoma" w:hAnsi="Tahoma"/>
      <w:sz w:val="16"/>
      <w:szCs w:val="16"/>
    </w:rPr>
  </w:style>
  <w:style w:type="character" w:customStyle="1" w:styleId="BalloonTextChar">
    <w:name w:val="Balloon Text Char"/>
    <w:link w:val="BalloonText"/>
    <w:rsid w:val="00312858"/>
    <w:rPr>
      <w:rFonts w:ascii="Tahoma" w:hAnsi="Tahoma" w:cs="Tahoma"/>
      <w:sz w:val="16"/>
      <w:szCs w:val="16"/>
      <w:lang w:val="en-US" w:eastAsia="en-US"/>
    </w:rPr>
  </w:style>
  <w:style w:type="paragraph" w:styleId="NoSpacing">
    <w:name w:val="No Spacing"/>
    <w:uiPriority w:val="1"/>
    <w:qFormat/>
    <w:rsid w:val="009C5347"/>
    <w:pPr>
      <w:jc w:val="both"/>
    </w:pPr>
    <w:rPr>
      <w:rFonts w:ascii="Arial" w:hAnsi="Arial"/>
      <w:szCs w:val="22"/>
      <w:lang w:bidi="en-US"/>
    </w:rPr>
  </w:style>
  <w:style w:type="character" w:styleId="CommentReference">
    <w:name w:val="annotation reference"/>
    <w:rsid w:val="00FE39AB"/>
    <w:rPr>
      <w:sz w:val="16"/>
      <w:szCs w:val="16"/>
    </w:rPr>
  </w:style>
  <w:style w:type="paragraph" w:styleId="CommentText">
    <w:name w:val="annotation text"/>
    <w:basedOn w:val="Normal"/>
    <w:link w:val="CommentTextChar"/>
    <w:rsid w:val="00FE39AB"/>
    <w:rPr>
      <w:sz w:val="20"/>
    </w:rPr>
  </w:style>
  <w:style w:type="character" w:customStyle="1" w:styleId="CommentTextChar">
    <w:name w:val="Comment Text Char"/>
    <w:link w:val="CommentText"/>
    <w:rsid w:val="00FE39AB"/>
    <w:rPr>
      <w:lang w:val="en-US" w:eastAsia="en-US"/>
    </w:rPr>
  </w:style>
  <w:style w:type="paragraph" w:styleId="CommentSubject">
    <w:name w:val="annotation subject"/>
    <w:basedOn w:val="CommentText"/>
    <w:next w:val="CommentText"/>
    <w:link w:val="CommentSubjectChar"/>
    <w:rsid w:val="00FE39AB"/>
    <w:rPr>
      <w:b/>
      <w:bCs/>
    </w:rPr>
  </w:style>
  <w:style w:type="character" w:customStyle="1" w:styleId="CommentSubjectChar">
    <w:name w:val="Comment Subject Char"/>
    <w:link w:val="CommentSubject"/>
    <w:rsid w:val="00FE39AB"/>
    <w:rPr>
      <w:b/>
      <w:bCs/>
      <w:lang w:val="en-US" w:eastAsia="en-US"/>
    </w:rPr>
  </w:style>
  <w:style w:type="paragraph" w:styleId="Revision">
    <w:name w:val="Revision"/>
    <w:hidden/>
    <w:uiPriority w:val="99"/>
    <w:semiHidden/>
    <w:rsid w:val="00224056"/>
    <w:rPr>
      <w:sz w:val="24"/>
    </w:rPr>
  </w:style>
  <w:style w:type="paragraph" w:customStyle="1" w:styleId="ecxmsonormal">
    <w:name w:val="ecxmsonormal"/>
    <w:basedOn w:val="Normal"/>
    <w:rsid w:val="00E73FD9"/>
    <w:pPr>
      <w:spacing w:after="324"/>
    </w:pPr>
    <w:rPr>
      <w:szCs w:val="24"/>
      <w:lang w:val="en-GB" w:eastAsia="en-GB"/>
    </w:rPr>
  </w:style>
  <w:style w:type="character" w:customStyle="1" w:styleId="BodyTextChar">
    <w:name w:val="Body Text Char"/>
    <w:link w:val="BodyText"/>
    <w:rsid w:val="00903B01"/>
    <w:rPr>
      <w:sz w:val="24"/>
      <w:lang w:eastAsia="en-US"/>
    </w:rPr>
  </w:style>
  <w:style w:type="character" w:customStyle="1" w:styleId="FooterChar">
    <w:name w:val="Footer Char"/>
    <w:link w:val="Footer"/>
    <w:rsid w:val="00685553"/>
    <w:rPr>
      <w:lang w:eastAsia="en-US"/>
    </w:rPr>
  </w:style>
  <w:style w:type="paragraph" w:customStyle="1" w:styleId="03Bodynospace">
    <w:name w:val="**03_Body (no space)"/>
    <w:basedOn w:val="Normal"/>
    <w:qFormat/>
    <w:rsid w:val="00991C20"/>
    <w:pPr>
      <w:tabs>
        <w:tab w:val="left" w:pos="360"/>
      </w:tabs>
    </w:pPr>
    <w:rPr>
      <w:rFonts w:ascii="Arial" w:hAnsi="Arial"/>
      <w:sz w:val="18"/>
      <w:szCs w:val="24"/>
      <w:lang w:val="en-GB"/>
    </w:rPr>
  </w:style>
  <w:style w:type="paragraph" w:styleId="ListParagraph">
    <w:name w:val="List Paragraph"/>
    <w:basedOn w:val="Normal"/>
    <w:uiPriority w:val="34"/>
    <w:qFormat/>
    <w:rsid w:val="00305199"/>
    <w:pPr>
      <w:ind w:left="720"/>
      <w:contextualSpacing/>
    </w:pPr>
  </w:style>
  <w:style w:type="paragraph" w:customStyle="1" w:styleId="cs2654ae3a">
    <w:name w:val="cs2654ae3a"/>
    <w:basedOn w:val="Normal"/>
    <w:rsid w:val="00685476"/>
    <w:rPr>
      <w:rFonts w:eastAsiaTheme="minorHAnsi"/>
      <w:szCs w:val="24"/>
      <w:lang w:val="en-GB" w:eastAsia="en-GB"/>
    </w:rPr>
  </w:style>
  <w:style w:type="character" w:customStyle="1" w:styleId="cs502788631">
    <w:name w:val="cs502788631"/>
    <w:basedOn w:val="DefaultParagraphFont"/>
    <w:rsid w:val="00685476"/>
    <w:rPr>
      <w:rFonts w:ascii="Microsoft Sans Serif" w:hAnsi="Microsoft Sans Serif" w:cs="Microsoft Sans Serif" w:hint="default"/>
      <w:b w:val="0"/>
      <w:bCs w:val="0"/>
      <w:i w:val="0"/>
      <w:iCs w:val="0"/>
      <w:color w:val="000000"/>
      <w:sz w:val="18"/>
      <w:szCs w:val="18"/>
    </w:rPr>
  </w:style>
  <w:style w:type="paragraph" w:customStyle="1" w:styleId="00Bodynospace">
    <w:name w:val="**00_Body (no space)"/>
    <w:basedOn w:val="Normal"/>
    <w:qFormat/>
    <w:rsid w:val="00CB431C"/>
    <w:pPr>
      <w:tabs>
        <w:tab w:val="left" w:pos="360"/>
      </w:tabs>
    </w:pPr>
    <w:rPr>
      <w:rFonts w:ascii="Arial" w:hAnsi="Arial"/>
      <w:sz w:val="1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3CD"/>
    <w:rPr>
      <w:sz w:val="24"/>
    </w:rPr>
  </w:style>
  <w:style w:type="paragraph" w:styleId="Heading1">
    <w:name w:val="heading 1"/>
    <w:basedOn w:val="Normal"/>
    <w:next w:val="Normal"/>
    <w:qFormat/>
    <w:rsid w:val="00F70952"/>
    <w:pPr>
      <w:keepNext/>
      <w:jc w:val="center"/>
      <w:outlineLvl w:val="0"/>
    </w:pPr>
    <w:rPr>
      <w:lang w:val="en-GB"/>
    </w:rPr>
  </w:style>
  <w:style w:type="paragraph" w:styleId="Heading2">
    <w:name w:val="heading 2"/>
    <w:basedOn w:val="Normal"/>
    <w:next w:val="Normal"/>
    <w:qFormat/>
    <w:rsid w:val="00F70952"/>
    <w:pPr>
      <w:keepNext/>
      <w:outlineLvl w:val="1"/>
    </w:pPr>
    <w:rPr>
      <w:b/>
      <w:bCs/>
      <w:sz w:val="44"/>
      <w:lang w:val="en-GB"/>
    </w:rPr>
  </w:style>
  <w:style w:type="paragraph" w:styleId="Heading3">
    <w:name w:val="heading 3"/>
    <w:basedOn w:val="Normal"/>
    <w:next w:val="Normal"/>
    <w:qFormat/>
    <w:rsid w:val="00F70952"/>
    <w:pPr>
      <w:keepNext/>
      <w:outlineLvl w:val="2"/>
    </w:pPr>
    <w:rPr>
      <w:sz w:val="40"/>
      <w:lang w:val="en-GB"/>
    </w:rPr>
  </w:style>
  <w:style w:type="paragraph" w:styleId="Heading4">
    <w:name w:val="heading 4"/>
    <w:basedOn w:val="Normal"/>
    <w:next w:val="Normal"/>
    <w:qFormat/>
    <w:rsid w:val="00F70952"/>
    <w:pPr>
      <w:keepNext/>
      <w:jc w:val="center"/>
      <w:outlineLvl w:val="3"/>
    </w:pPr>
    <w:rPr>
      <w:sz w:val="48"/>
      <w:lang w:val="en-GB"/>
    </w:rPr>
  </w:style>
  <w:style w:type="paragraph" w:styleId="Heading5">
    <w:name w:val="heading 5"/>
    <w:basedOn w:val="Normal"/>
    <w:next w:val="Normal"/>
    <w:qFormat/>
    <w:rsid w:val="00F70952"/>
    <w:pPr>
      <w:keepNext/>
      <w:outlineLvl w:val="4"/>
    </w:pPr>
    <w:rPr>
      <w:rFonts w:ascii="Arial" w:hAnsi="Arial" w:cs="Arial"/>
      <w:b/>
      <w:bCs/>
      <w:lang w:val="en-GB"/>
    </w:rPr>
  </w:style>
  <w:style w:type="paragraph" w:styleId="Heading6">
    <w:name w:val="heading 6"/>
    <w:basedOn w:val="Normal"/>
    <w:next w:val="Normal"/>
    <w:qFormat/>
    <w:rsid w:val="00F70952"/>
    <w:pPr>
      <w:keepNext/>
      <w:tabs>
        <w:tab w:val="left" w:pos="360"/>
        <w:tab w:val="left" w:pos="792"/>
        <w:tab w:val="left" w:pos="1080"/>
        <w:tab w:val="left" w:pos="4392"/>
      </w:tabs>
      <w:jc w:val="center"/>
      <w:outlineLvl w:val="5"/>
    </w:pPr>
    <w:rPr>
      <w:u w:val="single"/>
      <w:lang w:val="en-GB"/>
    </w:rPr>
  </w:style>
  <w:style w:type="paragraph" w:styleId="Heading7">
    <w:name w:val="heading 7"/>
    <w:basedOn w:val="Normal"/>
    <w:next w:val="Normal"/>
    <w:qFormat/>
    <w:rsid w:val="00F70952"/>
    <w:pPr>
      <w:keepNext/>
      <w:tabs>
        <w:tab w:val="left" w:pos="0"/>
        <w:tab w:val="left" w:pos="142"/>
        <w:tab w:val="right" w:pos="3960"/>
        <w:tab w:val="decimal" w:pos="5688"/>
        <w:tab w:val="decimal" w:pos="7272"/>
        <w:tab w:val="decimal" w:pos="8712"/>
        <w:tab w:val="decimal" w:pos="9864"/>
      </w:tabs>
      <w:ind w:left="-360"/>
      <w:outlineLvl w:val="6"/>
    </w:pPr>
    <w:rPr>
      <w:b/>
      <w:bCs/>
    </w:rPr>
  </w:style>
  <w:style w:type="paragraph" w:styleId="Heading8">
    <w:name w:val="heading 8"/>
    <w:basedOn w:val="Normal"/>
    <w:next w:val="Normal"/>
    <w:qFormat/>
    <w:rsid w:val="00F70952"/>
    <w:pPr>
      <w:keepNext/>
      <w:tabs>
        <w:tab w:val="left" w:pos="1800"/>
        <w:tab w:val="left" w:pos="2232"/>
        <w:tab w:val="left" w:pos="2520"/>
        <w:tab w:val="left" w:pos="3696"/>
        <w:tab w:val="right" w:pos="9000"/>
        <w:tab w:val="right" w:pos="11736"/>
      </w:tabs>
      <w:outlineLvl w:val="7"/>
    </w:pPr>
    <w:rPr>
      <w:lang w:val="en-GB"/>
    </w:rPr>
  </w:style>
  <w:style w:type="paragraph" w:styleId="Heading9">
    <w:name w:val="heading 9"/>
    <w:basedOn w:val="Normal"/>
    <w:next w:val="Normal"/>
    <w:qFormat/>
    <w:rsid w:val="00F70952"/>
    <w:pPr>
      <w:keepNext/>
      <w:tabs>
        <w:tab w:val="left" w:pos="567"/>
        <w:tab w:val="left" w:pos="3686"/>
        <w:tab w:val="left" w:pos="7088"/>
      </w:tabs>
      <w:ind w:left="-360"/>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BodyText"/>
    <w:rsid w:val="00F70952"/>
  </w:style>
  <w:style w:type="paragraph" w:styleId="BodyText">
    <w:name w:val="Body Text"/>
    <w:basedOn w:val="Normal"/>
    <w:link w:val="BodyTextChar"/>
    <w:rsid w:val="00F70952"/>
  </w:style>
  <w:style w:type="paragraph" w:styleId="PlainText">
    <w:name w:val="Plain Text"/>
    <w:basedOn w:val="Normal"/>
    <w:link w:val="PlainTextChar"/>
    <w:uiPriority w:val="99"/>
    <w:rsid w:val="00F70952"/>
    <w:rPr>
      <w:rFonts w:ascii="Courier New" w:hAnsi="Courier New"/>
      <w:sz w:val="20"/>
    </w:rPr>
  </w:style>
  <w:style w:type="paragraph" w:styleId="BodyText2">
    <w:name w:val="Body Text 2"/>
    <w:basedOn w:val="Normal"/>
    <w:rsid w:val="00F70952"/>
    <w:pPr>
      <w:spacing w:line="360" w:lineRule="auto"/>
      <w:jc w:val="both"/>
    </w:pPr>
    <w:rPr>
      <w:rFonts w:ascii="Arial" w:hAnsi="Arial" w:cs="Arial"/>
      <w:lang w:val="en-GB"/>
    </w:rPr>
  </w:style>
  <w:style w:type="character" w:styleId="PageNumber">
    <w:name w:val="page number"/>
    <w:basedOn w:val="DefaultParagraphFont"/>
    <w:rsid w:val="00F70952"/>
  </w:style>
  <w:style w:type="paragraph" w:styleId="Footer">
    <w:name w:val="footer"/>
    <w:basedOn w:val="Normal"/>
    <w:link w:val="FooterChar"/>
    <w:rsid w:val="00F70952"/>
    <w:pPr>
      <w:tabs>
        <w:tab w:val="center" w:pos="4153"/>
        <w:tab w:val="right" w:pos="8306"/>
      </w:tabs>
    </w:pPr>
    <w:rPr>
      <w:sz w:val="20"/>
    </w:rPr>
  </w:style>
  <w:style w:type="paragraph" w:styleId="Header">
    <w:name w:val="header"/>
    <w:basedOn w:val="Normal"/>
    <w:rsid w:val="00F70952"/>
    <w:pPr>
      <w:tabs>
        <w:tab w:val="center" w:pos="4320"/>
        <w:tab w:val="right" w:pos="8640"/>
      </w:tabs>
    </w:pPr>
  </w:style>
  <w:style w:type="paragraph" w:styleId="BodyTextIndent">
    <w:name w:val="Body Text Indent"/>
    <w:basedOn w:val="Normal"/>
    <w:rsid w:val="00F70952"/>
    <w:pPr>
      <w:tabs>
        <w:tab w:val="left" w:pos="0"/>
        <w:tab w:val="left" w:pos="431"/>
        <w:tab w:val="left" w:pos="862"/>
        <w:tab w:val="left" w:pos="1730"/>
      </w:tabs>
      <w:ind w:left="435"/>
    </w:pPr>
    <w:rPr>
      <w:lang w:val="en-GB"/>
    </w:rPr>
  </w:style>
  <w:style w:type="paragraph" w:styleId="BodyTextIndent3">
    <w:name w:val="Body Text Indent 3"/>
    <w:basedOn w:val="Normal"/>
    <w:rsid w:val="00F70952"/>
    <w:pPr>
      <w:tabs>
        <w:tab w:val="left" w:pos="0"/>
        <w:tab w:val="left" w:pos="142"/>
        <w:tab w:val="decimal" w:pos="6118"/>
        <w:tab w:val="decimal" w:pos="7847"/>
        <w:tab w:val="decimal" w:pos="9577"/>
      </w:tabs>
      <w:ind w:left="426" w:hanging="6"/>
    </w:pPr>
    <w:rPr>
      <w:lang w:val="en-GB"/>
    </w:rPr>
  </w:style>
  <w:style w:type="character" w:styleId="Hyperlink">
    <w:name w:val="Hyperlink"/>
    <w:rsid w:val="00F70952"/>
    <w:rPr>
      <w:color w:val="0000FF"/>
      <w:u w:val="single"/>
    </w:rPr>
  </w:style>
  <w:style w:type="paragraph" w:styleId="BlockText">
    <w:name w:val="Block Text"/>
    <w:basedOn w:val="Normal"/>
    <w:rsid w:val="00F70952"/>
    <w:pPr>
      <w:tabs>
        <w:tab w:val="left" w:pos="431"/>
        <w:tab w:val="left" w:pos="1080"/>
        <w:tab w:val="left" w:pos="1656"/>
        <w:tab w:val="right" w:pos="5688"/>
        <w:tab w:val="decimal" w:pos="7272"/>
        <w:tab w:val="right" w:pos="8568"/>
        <w:tab w:val="right" w:pos="9072"/>
      </w:tabs>
      <w:ind w:left="-360" w:right="849"/>
    </w:pPr>
  </w:style>
  <w:style w:type="character" w:styleId="FollowedHyperlink">
    <w:name w:val="FollowedHyperlink"/>
    <w:rsid w:val="00F70952"/>
    <w:rPr>
      <w:color w:val="800080"/>
      <w:u w:val="single"/>
    </w:rPr>
  </w:style>
  <w:style w:type="paragraph" w:styleId="BodyTextIndent2">
    <w:name w:val="Body Text Indent 2"/>
    <w:basedOn w:val="Normal"/>
    <w:rsid w:val="00F70952"/>
    <w:pPr>
      <w:tabs>
        <w:tab w:val="left" w:pos="0"/>
        <w:tab w:val="left" w:pos="431"/>
        <w:tab w:val="left" w:pos="862"/>
        <w:tab w:val="left" w:pos="1730"/>
      </w:tabs>
      <w:ind w:left="435"/>
      <w:jc w:val="both"/>
    </w:pPr>
  </w:style>
  <w:style w:type="paragraph" w:customStyle="1" w:styleId="xl24">
    <w:name w:val="xl24"/>
    <w:basedOn w:val="Normal"/>
    <w:rsid w:val="00F70952"/>
    <w:pPr>
      <w:shd w:val="clear" w:color="auto" w:fill="FFFFFF"/>
      <w:spacing w:before="100" w:beforeAutospacing="1" w:after="100" w:afterAutospacing="1"/>
    </w:pPr>
    <w:rPr>
      <w:rFonts w:ascii="Arial" w:hAnsi="Arial" w:cs="Arial"/>
      <w:b/>
      <w:bCs/>
      <w:sz w:val="16"/>
      <w:szCs w:val="16"/>
      <w:lang w:val="en-GB"/>
    </w:rPr>
  </w:style>
  <w:style w:type="paragraph" w:customStyle="1" w:styleId="xl25">
    <w:name w:val="xl25"/>
    <w:basedOn w:val="Normal"/>
    <w:rsid w:val="00F70952"/>
    <w:pPr>
      <w:shd w:val="clear" w:color="auto" w:fill="FFFFFF"/>
      <w:spacing w:before="100" w:beforeAutospacing="1" w:after="100" w:afterAutospacing="1"/>
    </w:pPr>
    <w:rPr>
      <w:rFonts w:ascii="Arial" w:hAnsi="Arial" w:cs="Arial"/>
      <w:sz w:val="16"/>
      <w:szCs w:val="16"/>
      <w:lang w:val="en-GB"/>
    </w:rPr>
  </w:style>
  <w:style w:type="paragraph" w:customStyle="1" w:styleId="xl26">
    <w:name w:val="xl26"/>
    <w:basedOn w:val="Normal"/>
    <w:rsid w:val="00F70952"/>
    <w:pPr>
      <w:shd w:val="clear" w:color="auto" w:fill="FFFFFF"/>
      <w:spacing w:before="100" w:beforeAutospacing="1" w:after="100" w:afterAutospacing="1"/>
      <w:jc w:val="center"/>
    </w:pPr>
    <w:rPr>
      <w:rFonts w:ascii="Arial" w:hAnsi="Arial" w:cs="Arial"/>
      <w:sz w:val="16"/>
      <w:szCs w:val="16"/>
      <w:lang w:val="en-GB"/>
    </w:rPr>
  </w:style>
  <w:style w:type="paragraph" w:customStyle="1" w:styleId="xl27">
    <w:name w:val="xl27"/>
    <w:basedOn w:val="Normal"/>
    <w:rsid w:val="00F70952"/>
    <w:pPr>
      <w:shd w:val="clear" w:color="auto" w:fill="FFFFFF"/>
      <w:spacing w:before="100" w:beforeAutospacing="1" w:after="100" w:afterAutospacing="1"/>
      <w:jc w:val="right"/>
    </w:pPr>
    <w:rPr>
      <w:rFonts w:ascii="Arial" w:hAnsi="Arial" w:cs="Arial"/>
      <w:sz w:val="16"/>
      <w:szCs w:val="16"/>
      <w:lang w:val="en-GB"/>
    </w:rPr>
  </w:style>
  <w:style w:type="paragraph" w:customStyle="1" w:styleId="xl28">
    <w:name w:val="xl28"/>
    <w:basedOn w:val="Normal"/>
    <w:rsid w:val="00F70952"/>
    <w:pPr>
      <w:shd w:val="clear" w:color="auto" w:fill="FFFFFF"/>
      <w:spacing w:before="100" w:beforeAutospacing="1" w:after="100" w:afterAutospacing="1"/>
    </w:pPr>
    <w:rPr>
      <w:rFonts w:ascii="Arial" w:hAnsi="Arial" w:cs="Arial"/>
      <w:sz w:val="16"/>
      <w:szCs w:val="16"/>
      <w:lang w:val="en-GB"/>
    </w:rPr>
  </w:style>
  <w:style w:type="paragraph" w:customStyle="1" w:styleId="xl29">
    <w:name w:val="xl29"/>
    <w:basedOn w:val="Normal"/>
    <w:rsid w:val="00F7095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en-GB"/>
    </w:rPr>
  </w:style>
  <w:style w:type="paragraph" w:customStyle="1" w:styleId="xl30">
    <w:name w:val="xl30"/>
    <w:basedOn w:val="Normal"/>
    <w:rsid w:val="00F70952"/>
    <w:pPr>
      <w:pBdr>
        <w:bottom w:val="single" w:sz="4" w:space="0" w:color="auto"/>
      </w:pBdr>
      <w:shd w:val="clear" w:color="auto" w:fill="FFFFFF"/>
      <w:spacing w:before="100" w:beforeAutospacing="1" w:after="100" w:afterAutospacing="1"/>
    </w:pPr>
    <w:rPr>
      <w:rFonts w:ascii="Arial" w:hAnsi="Arial" w:cs="Arial"/>
      <w:sz w:val="16"/>
      <w:szCs w:val="16"/>
      <w:lang w:val="en-GB"/>
    </w:rPr>
  </w:style>
  <w:style w:type="paragraph" w:customStyle="1" w:styleId="xl31">
    <w:name w:val="xl31"/>
    <w:basedOn w:val="Normal"/>
    <w:rsid w:val="00F70952"/>
    <w:pPr>
      <w:pBdr>
        <w:top w:val="single" w:sz="4" w:space="0" w:color="auto"/>
        <w:bottom w:val="single" w:sz="8" w:space="0" w:color="auto"/>
      </w:pBdr>
      <w:shd w:val="clear" w:color="auto" w:fill="FFFFFF"/>
      <w:spacing w:before="100" w:beforeAutospacing="1" w:after="100" w:afterAutospacing="1"/>
    </w:pPr>
    <w:rPr>
      <w:rFonts w:ascii="Arial" w:hAnsi="Arial" w:cs="Arial"/>
      <w:sz w:val="16"/>
      <w:szCs w:val="16"/>
      <w:lang w:val="en-GB"/>
    </w:rPr>
  </w:style>
  <w:style w:type="paragraph" w:customStyle="1" w:styleId="xl32">
    <w:name w:val="xl32"/>
    <w:basedOn w:val="Normal"/>
    <w:rsid w:val="00F70952"/>
    <w:pPr>
      <w:shd w:val="clear" w:color="auto" w:fill="FFFFFF"/>
      <w:spacing w:before="100" w:beforeAutospacing="1" w:after="100" w:afterAutospacing="1"/>
      <w:jc w:val="right"/>
    </w:pPr>
    <w:rPr>
      <w:rFonts w:ascii="Arial" w:hAnsi="Arial" w:cs="Arial"/>
      <w:sz w:val="16"/>
      <w:szCs w:val="16"/>
      <w:lang w:val="en-GB"/>
    </w:rPr>
  </w:style>
  <w:style w:type="paragraph" w:customStyle="1" w:styleId="xl33">
    <w:name w:val="xl33"/>
    <w:basedOn w:val="Normal"/>
    <w:rsid w:val="00F70952"/>
    <w:pPr>
      <w:shd w:val="clear" w:color="auto" w:fill="FFFFFF"/>
      <w:spacing w:before="100" w:beforeAutospacing="1" w:after="100" w:afterAutospacing="1"/>
      <w:jc w:val="center"/>
    </w:pPr>
    <w:rPr>
      <w:rFonts w:ascii="Arial" w:hAnsi="Arial" w:cs="Arial"/>
      <w:sz w:val="16"/>
      <w:szCs w:val="16"/>
      <w:lang w:val="en-GB"/>
    </w:rPr>
  </w:style>
  <w:style w:type="paragraph" w:customStyle="1" w:styleId="xl34">
    <w:name w:val="xl34"/>
    <w:basedOn w:val="Normal"/>
    <w:rsid w:val="00F70952"/>
    <w:pPr>
      <w:shd w:val="clear" w:color="auto" w:fill="FFFFFF"/>
      <w:spacing w:before="100" w:beforeAutospacing="1" w:after="100" w:afterAutospacing="1"/>
      <w:jc w:val="right"/>
    </w:pPr>
    <w:rPr>
      <w:rFonts w:ascii="Arial" w:hAnsi="Arial" w:cs="Arial"/>
      <w:sz w:val="16"/>
      <w:szCs w:val="16"/>
      <w:lang w:val="en-GB"/>
    </w:rPr>
  </w:style>
  <w:style w:type="paragraph" w:customStyle="1" w:styleId="xl35">
    <w:name w:val="xl35"/>
    <w:basedOn w:val="Normal"/>
    <w:rsid w:val="00F70952"/>
    <w:pPr>
      <w:shd w:val="clear" w:color="auto" w:fill="FFFFFF"/>
      <w:spacing w:before="100" w:beforeAutospacing="1" w:after="100" w:afterAutospacing="1"/>
      <w:jc w:val="right"/>
    </w:pPr>
    <w:rPr>
      <w:rFonts w:ascii="Arial" w:hAnsi="Arial" w:cs="Arial"/>
      <w:b/>
      <w:bCs/>
      <w:sz w:val="16"/>
      <w:szCs w:val="16"/>
      <w:lang w:val="en-GB"/>
    </w:rPr>
  </w:style>
  <w:style w:type="paragraph" w:customStyle="1" w:styleId="xl36">
    <w:name w:val="xl36"/>
    <w:basedOn w:val="Normal"/>
    <w:rsid w:val="00F70952"/>
    <w:pPr>
      <w:shd w:val="clear" w:color="auto" w:fill="FFFFFF"/>
      <w:spacing w:before="100" w:beforeAutospacing="1" w:after="100" w:afterAutospacing="1"/>
      <w:jc w:val="center"/>
    </w:pPr>
    <w:rPr>
      <w:rFonts w:ascii="Arial" w:hAnsi="Arial" w:cs="Arial"/>
      <w:b/>
      <w:bCs/>
      <w:sz w:val="16"/>
      <w:szCs w:val="16"/>
      <w:lang w:val="en-GB"/>
    </w:rPr>
  </w:style>
  <w:style w:type="paragraph" w:customStyle="1" w:styleId="xl37">
    <w:name w:val="xl37"/>
    <w:basedOn w:val="Normal"/>
    <w:rsid w:val="00F70952"/>
    <w:pPr>
      <w:shd w:val="clear" w:color="auto" w:fill="FFFFFF"/>
      <w:spacing w:before="100" w:beforeAutospacing="1" w:after="100" w:afterAutospacing="1"/>
      <w:jc w:val="right"/>
    </w:pPr>
    <w:rPr>
      <w:rFonts w:ascii="Arial" w:hAnsi="Arial" w:cs="Arial"/>
      <w:b/>
      <w:bCs/>
      <w:sz w:val="16"/>
      <w:szCs w:val="16"/>
      <w:lang w:val="en-GB"/>
    </w:rPr>
  </w:style>
  <w:style w:type="paragraph" w:customStyle="1" w:styleId="xl38">
    <w:name w:val="xl38"/>
    <w:basedOn w:val="Normal"/>
    <w:rsid w:val="00F70952"/>
    <w:pPr>
      <w:shd w:val="clear" w:color="auto" w:fill="FFFFFF"/>
      <w:spacing w:before="100" w:beforeAutospacing="1" w:after="100" w:afterAutospacing="1"/>
      <w:jc w:val="right"/>
    </w:pPr>
    <w:rPr>
      <w:rFonts w:ascii="Arial" w:hAnsi="Arial" w:cs="Arial"/>
      <w:b/>
      <w:bCs/>
      <w:sz w:val="16"/>
      <w:szCs w:val="16"/>
      <w:lang w:val="en-GB"/>
    </w:rPr>
  </w:style>
  <w:style w:type="paragraph" w:customStyle="1" w:styleId="xl39">
    <w:name w:val="xl39"/>
    <w:basedOn w:val="Normal"/>
    <w:rsid w:val="00F70952"/>
    <w:pPr>
      <w:shd w:val="clear" w:color="auto" w:fill="FFFFFF"/>
      <w:spacing w:before="100" w:beforeAutospacing="1" w:after="100" w:afterAutospacing="1"/>
      <w:jc w:val="center"/>
    </w:pPr>
    <w:rPr>
      <w:rFonts w:ascii="Arial" w:hAnsi="Arial" w:cs="Arial"/>
      <w:b/>
      <w:bCs/>
      <w:sz w:val="16"/>
      <w:szCs w:val="16"/>
      <w:lang w:val="en-GB"/>
    </w:rPr>
  </w:style>
  <w:style w:type="paragraph" w:customStyle="1" w:styleId="xl40">
    <w:name w:val="xl40"/>
    <w:basedOn w:val="Normal"/>
    <w:rsid w:val="00F70952"/>
    <w:pPr>
      <w:shd w:val="clear" w:color="auto" w:fill="FFFFFF"/>
      <w:spacing w:before="100" w:beforeAutospacing="1" w:after="100" w:afterAutospacing="1"/>
    </w:pPr>
    <w:rPr>
      <w:rFonts w:ascii="Arial" w:hAnsi="Arial" w:cs="Arial"/>
      <w:b/>
      <w:bCs/>
      <w:sz w:val="16"/>
      <w:szCs w:val="16"/>
      <w:lang w:val="en-GB"/>
    </w:rPr>
  </w:style>
  <w:style w:type="paragraph" w:customStyle="1" w:styleId="xl41">
    <w:name w:val="xl41"/>
    <w:basedOn w:val="Normal"/>
    <w:rsid w:val="00F7095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en-GB"/>
    </w:rPr>
  </w:style>
  <w:style w:type="paragraph" w:styleId="BodyText3">
    <w:name w:val="Body Text 3"/>
    <w:basedOn w:val="Normal"/>
    <w:rsid w:val="00F70952"/>
    <w:pPr>
      <w:jc w:val="both"/>
    </w:pPr>
    <w:rPr>
      <w:rFonts w:ascii="Arial" w:hAnsi="Arial" w:cs="Arial"/>
      <w:i/>
      <w:iCs/>
    </w:rPr>
  </w:style>
  <w:style w:type="paragraph" w:styleId="HTMLPreformatted">
    <w:name w:val="HTML Preformatted"/>
    <w:basedOn w:val="Normal"/>
    <w:link w:val="HTMLPreformattedChar"/>
    <w:rsid w:val="00F70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18"/>
      <w:szCs w:val="18"/>
      <w:lang w:val="en-GB"/>
    </w:rPr>
  </w:style>
  <w:style w:type="paragraph" w:customStyle="1" w:styleId="xl42">
    <w:name w:val="xl42"/>
    <w:basedOn w:val="Normal"/>
    <w:rsid w:val="00F70952"/>
    <w:pPr>
      <w:shd w:val="clear" w:color="auto" w:fill="FFFFFF"/>
      <w:spacing w:before="100" w:beforeAutospacing="1" w:after="100" w:afterAutospacing="1"/>
    </w:pPr>
    <w:rPr>
      <w:rFonts w:ascii="Arial" w:eastAsia="Arial Unicode MS" w:hAnsi="Arial" w:cs="Arial"/>
      <w:b/>
      <w:bCs/>
      <w:sz w:val="16"/>
      <w:szCs w:val="16"/>
      <w:lang w:val="en-GB"/>
    </w:rPr>
  </w:style>
  <w:style w:type="paragraph" w:customStyle="1" w:styleId="xl43">
    <w:name w:val="xl43"/>
    <w:basedOn w:val="Normal"/>
    <w:rsid w:val="00F7095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16"/>
      <w:szCs w:val="16"/>
      <w:lang w:val="en-GB"/>
    </w:rPr>
  </w:style>
  <w:style w:type="paragraph" w:customStyle="1" w:styleId="xl44">
    <w:name w:val="xl44"/>
    <w:basedOn w:val="Normal"/>
    <w:rsid w:val="00F7095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16"/>
      <w:szCs w:val="16"/>
      <w:lang w:val="en-GB"/>
    </w:rPr>
  </w:style>
  <w:style w:type="paragraph" w:customStyle="1" w:styleId="xl45">
    <w:name w:val="xl45"/>
    <w:basedOn w:val="Normal"/>
    <w:rsid w:val="00F70952"/>
    <w:pPr>
      <w:pBdr>
        <w:bottom w:val="single" w:sz="4" w:space="0" w:color="auto"/>
      </w:pBdr>
      <w:shd w:val="clear" w:color="auto" w:fill="FFFFFF"/>
      <w:spacing w:before="100" w:beforeAutospacing="1" w:after="100" w:afterAutospacing="1"/>
    </w:pPr>
    <w:rPr>
      <w:rFonts w:ascii="Arial" w:eastAsia="Arial Unicode MS" w:hAnsi="Arial" w:cs="Arial"/>
      <w:b/>
      <w:bCs/>
      <w:sz w:val="16"/>
      <w:szCs w:val="16"/>
      <w:lang w:val="en-GB"/>
    </w:rPr>
  </w:style>
  <w:style w:type="paragraph" w:customStyle="1" w:styleId="xl46">
    <w:name w:val="xl46"/>
    <w:basedOn w:val="Normal"/>
    <w:rsid w:val="00F70952"/>
    <w:pPr>
      <w:pBdr>
        <w:top w:val="single" w:sz="4" w:space="0" w:color="auto"/>
        <w:bottom w:val="single" w:sz="8" w:space="0" w:color="auto"/>
      </w:pBdr>
      <w:shd w:val="clear" w:color="auto" w:fill="FFFFFF"/>
      <w:spacing w:before="100" w:beforeAutospacing="1" w:after="100" w:afterAutospacing="1"/>
    </w:pPr>
    <w:rPr>
      <w:rFonts w:ascii="Arial" w:eastAsia="Arial Unicode MS" w:hAnsi="Arial" w:cs="Arial"/>
      <w:b/>
      <w:bCs/>
      <w:sz w:val="16"/>
      <w:szCs w:val="16"/>
      <w:lang w:val="en-GB"/>
    </w:rPr>
  </w:style>
  <w:style w:type="paragraph" w:customStyle="1" w:styleId="xl47">
    <w:name w:val="xl47"/>
    <w:basedOn w:val="Normal"/>
    <w:rsid w:val="00F70952"/>
    <w:pPr>
      <w:shd w:val="clear" w:color="auto" w:fill="FFFFFF"/>
      <w:spacing w:before="100" w:beforeAutospacing="1" w:after="100" w:afterAutospacing="1"/>
    </w:pPr>
    <w:rPr>
      <w:rFonts w:ascii="Arial" w:eastAsia="Arial Unicode MS" w:hAnsi="Arial" w:cs="Arial"/>
      <w:sz w:val="16"/>
      <w:szCs w:val="16"/>
      <w:lang w:val="en-GB"/>
    </w:rPr>
  </w:style>
  <w:style w:type="paragraph" w:customStyle="1" w:styleId="xl48">
    <w:name w:val="xl48"/>
    <w:basedOn w:val="Normal"/>
    <w:rsid w:val="00F70952"/>
    <w:pPr>
      <w:pBdr>
        <w:bottom w:val="single" w:sz="4" w:space="0" w:color="auto"/>
      </w:pBdr>
      <w:shd w:val="clear" w:color="auto" w:fill="FFFFFF"/>
      <w:spacing w:before="100" w:beforeAutospacing="1" w:after="100" w:afterAutospacing="1"/>
      <w:jc w:val="right"/>
    </w:pPr>
    <w:rPr>
      <w:rFonts w:ascii="Arial" w:eastAsia="Arial Unicode MS" w:hAnsi="Arial" w:cs="Arial"/>
      <w:b/>
      <w:bCs/>
      <w:sz w:val="16"/>
      <w:szCs w:val="16"/>
      <w:lang w:val="en-GB"/>
    </w:rPr>
  </w:style>
  <w:style w:type="paragraph" w:customStyle="1" w:styleId="xl49">
    <w:name w:val="xl49"/>
    <w:basedOn w:val="Normal"/>
    <w:rsid w:val="00F70952"/>
    <w:pPr>
      <w:pBdr>
        <w:bottom w:val="single" w:sz="4" w:space="0" w:color="auto"/>
      </w:pBdr>
      <w:shd w:val="clear" w:color="auto" w:fill="FFFFFF"/>
      <w:spacing w:before="100" w:beforeAutospacing="1" w:after="100" w:afterAutospacing="1"/>
      <w:jc w:val="right"/>
    </w:pPr>
    <w:rPr>
      <w:rFonts w:ascii="Arial" w:eastAsia="Arial Unicode MS" w:hAnsi="Arial" w:cs="Arial"/>
      <w:sz w:val="16"/>
      <w:szCs w:val="16"/>
      <w:lang w:val="en-GB"/>
    </w:rPr>
  </w:style>
  <w:style w:type="paragraph" w:customStyle="1" w:styleId="font5">
    <w:name w:val="font5"/>
    <w:basedOn w:val="Normal"/>
    <w:rsid w:val="00F70952"/>
    <w:pPr>
      <w:spacing w:before="100" w:beforeAutospacing="1" w:after="100" w:afterAutospacing="1"/>
    </w:pPr>
    <w:rPr>
      <w:rFonts w:ascii="Arial" w:hAnsi="Arial" w:cs="Arial"/>
      <w:b/>
      <w:bCs/>
      <w:sz w:val="16"/>
      <w:szCs w:val="16"/>
      <w:lang w:val="en-GB"/>
    </w:rPr>
  </w:style>
  <w:style w:type="paragraph" w:customStyle="1" w:styleId="font6">
    <w:name w:val="font6"/>
    <w:basedOn w:val="Normal"/>
    <w:rsid w:val="00F70952"/>
    <w:pPr>
      <w:spacing w:before="100" w:beforeAutospacing="1" w:after="100" w:afterAutospacing="1"/>
    </w:pPr>
    <w:rPr>
      <w:rFonts w:ascii="Arial" w:hAnsi="Arial" w:cs="Arial"/>
      <w:sz w:val="16"/>
      <w:szCs w:val="16"/>
      <w:lang w:val="en-GB"/>
    </w:rPr>
  </w:style>
  <w:style w:type="paragraph" w:customStyle="1" w:styleId="xl50">
    <w:name w:val="xl50"/>
    <w:basedOn w:val="Normal"/>
    <w:rsid w:val="00F70952"/>
    <w:pPr>
      <w:shd w:val="clear" w:color="auto" w:fill="FFFFFF"/>
      <w:spacing w:before="100" w:beforeAutospacing="1" w:after="100" w:afterAutospacing="1"/>
    </w:pPr>
    <w:rPr>
      <w:rFonts w:ascii="Arial" w:hAnsi="Arial" w:cs="Arial"/>
      <w:b/>
      <w:bCs/>
      <w:sz w:val="18"/>
      <w:szCs w:val="18"/>
      <w:lang w:val="en-GB"/>
    </w:rPr>
  </w:style>
  <w:style w:type="paragraph" w:customStyle="1" w:styleId="xl51">
    <w:name w:val="xl51"/>
    <w:basedOn w:val="Normal"/>
    <w:rsid w:val="00F70952"/>
    <w:pPr>
      <w:shd w:val="clear" w:color="auto" w:fill="FFFFFF"/>
      <w:spacing w:before="100" w:beforeAutospacing="1" w:after="100" w:afterAutospacing="1"/>
    </w:pPr>
    <w:rPr>
      <w:rFonts w:ascii="Arial" w:hAnsi="Arial" w:cs="Arial"/>
      <w:b/>
      <w:bCs/>
      <w:sz w:val="16"/>
      <w:szCs w:val="16"/>
      <w:lang w:val="en-GB"/>
    </w:rPr>
  </w:style>
  <w:style w:type="character" w:customStyle="1" w:styleId="STANDARD1">
    <w:name w:val="STANDARD 1"/>
    <w:basedOn w:val="DefaultParagraphFont"/>
    <w:rsid w:val="00F70952"/>
  </w:style>
  <w:style w:type="paragraph" w:styleId="Subtitle">
    <w:name w:val="Subtitle"/>
    <w:basedOn w:val="Normal"/>
    <w:qFormat/>
    <w:rsid w:val="00F70952"/>
    <w:rPr>
      <w:b/>
      <w:bCs/>
      <w:szCs w:val="24"/>
      <w:lang w:val="en-GB"/>
    </w:rPr>
  </w:style>
  <w:style w:type="paragraph" w:styleId="NormalWeb">
    <w:name w:val="Normal (Web)"/>
    <w:basedOn w:val="Normal"/>
    <w:rsid w:val="00F70952"/>
    <w:pPr>
      <w:spacing w:before="100" w:beforeAutospacing="1" w:after="100" w:afterAutospacing="1"/>
    </w:pPr>
    <w:rPr>
      <w:rFonts w:ascii="Arial Unicode MS" w:hAnsi="Arial Unicode MS"/>
      <w:szCs w:val="24"/>
      <w:lang w:val="en-GB"/>
    </w:rPr>
  </w:style>
  <w:style w:type="paragraph" w:customStyle="1" w:styleId="Normal0">
    <w:name w:val="[Normal]"/>
    <w:rsid w:val="00F70952"/>
    <w:pPr>
      <w:autoSpaceDE w:val="0"/>
      <w:autoSpaceDN w:val="0"/>
      <w:adjustRightInd w:val="0"/>
    </w:pPr>
    <w:rPr>
      <w:rFonts w:ascii="Arial" w:hAnsi="Arial" w:cs="Arial"/>
      <w:sz w:val="24"/>
      <w:szCs w:val="24"/>
    </w:rPr>
  </w:style>
  <w:style w:type="character" w:styleId="Strong">
    <w:name w:val="Strong"/>
    <w:qFormat/>
    <w:rsid w:val="00F70952"/>
    <w:rPr>
      <w:b/>
      <w:bCs/>
    </w:rPr>
  </w:style>
  <w:style w:type="character" w:customStyle="1" w:styleId="PlainTextChar">
    <w:name w:val="Plain Text Char"/>
    <w:link w:val="PlainText"/>
    <w:uiPriority w:val="99"/>
    <w:rsid w:val="00B31445"/>
    <w:rPr>
      <w:rFonts w:ascii="Courier New" w:hAnsi="Courier New"/>
    </w:rPr>
  </w:style>
  <w:style w:type="character" w:customStyle="1" w:styleId="HTMLPreformattedChar">
    <w:name w:val="HTML Preformatted Char"/>
    <w:link w:val="HTMLPreformatted"/>
    <w:rsid w:val="00B31445"/>
    <w:rPr>
      <w:rFonts w:ascii="Courier New" w:eastAsia="Courier New" w:hAnsi="Courier New" w:cs="Courier New"/>
      <w:color w:val="000000"/>
      <w:sz w:val="18"/>
      <w:szCs w:val="18"/>
      <w:lang w:val="en-GB"/>
    </w:rPr>
  </w:style>
  <w:style w:type="paragraph" w:customStyle="1" w:styleId="style1">
    <w:name w:val="style1"/>
    <w:basedOn w:val="Normal"/>
    <w:rsid w:val="00B31445"/>
    <w:pPr>
      <w:spacing w:before="100" w:beforeAutospacing="1" w:after="100" w:afterAutospacing="1"/>
    </w:pPr>
    <w:rPr>
      <w:rFonts w:ascii="Verdana" w:hAnsi="Verdana"/>
      <w:b/>
      <w:bCs/>
      <w:color w:val="000000"/>
      <w:sz w:val="20"/>
    </w:rPr>
  </w:style>
  <w:style w:type="paragraph" w:styleId="BalloonText">
    <w:name w:val="Balloon Text"/>
    <w:basedOn w:val="Normal"/>
    <w:link w:val="BalloonTextChar"/>
    <w:rsid w:val="00312858"/>
    <w:rPr>
      <w:rFonts w:ascii="Tahoma" w:hAnsi="Tahoma"/>
      <w:sz w:val="16"/>
      <w:szCs w:val="16"/>
    </w:rPr>
  </w:style>
  <w:style w:type="character" w:customStyle="1" w:styleId="BalloonTextChar">
    <w:name w:val="Balloon Text Char"/>
    <w:link w:val="BalloonText"/>
    <w:rsid w:val="00312858"/>
    <w:rPr>
      <w:rFonts w:ascii="Tahoma" w:hAnsi="Tahoma" w:cs="Tahoma"/>
      <w:sz w:val="16"/>
      <w:szCs w:val="16"/>
      <w:lang w:val="en-US" w:eastAsia="en-US"/>
    </w:rPr>
  </w:style>
  <w:style w:type="paragraph" w:styleId="NoSpacing">
    <w:name w:val="No Spacing"/>
    <w:uiPriority w:val="1"/>
    <w:qFormat/>
    <w:rsid w:val="009C5347"/>
    <w:pPr>
      <w:jc w:val="both"/>
    </w:pPr>
    <w:rPr>
      <w:rFonts w:ascii="Arial" w:hAnsi="Arial"/>
      <w:szCs w:val="22"/>
      <w:lang w:bidi="en-US"/>
    </w:rPr>
  </w:style>
  <w:style w:type="character" w:styleId="CommentReference">
    <w:name w:val="annotation reference"/>
    <w:rsid w:val="00FE39AB"/>
    <w:rPr>
      <w:sz w:val="16"/>
      <w:szCs w:val="16"/>
    </w:rPr>
  </w:style>
  <w:style w:type="paragraph" w:styleId="CommentText">
    <w:name w:val="annotation text"/>
    <w:basedOn w:val="Normal"/>
    <w:link w:val="CommentTextChar"/>
    <w:rsid w:val="00FE39AB"/>
    <w:rPr>
      <w:sz w:val="20"/>
    </w:rPr>
  </w:style>
  <w:style w:type="character" w:customStyle="1" w:styleId="CommentTextChar">
    <w:name w:val="Comment Text Char"/>
    <w:link w:val="CommentText"/>
    <w:rsid w:val="00FE39AB"/>
    <w:rPr>
      <w:lang w:val="en-US" w:eastAsia="en-US"/>
    </w:rPr>
  </w:style>
  <w:style w:type="paragraph" w:styleId="CommentSubject">
    <w:name w:val="annotation subject"/>
    <w:basedOn w:val="CommentText"/>
    <w:next w:val="CommentText"/>
    <w:link w:val="CommentSubjectChar"/>
    <w:rsid w:val="00FE39AB"/>
    <w:rPr>
      <w:b/>
      <w:bCs/>
    </w:rPr>
  </w:style>
  <w:style w:type="character" w:customStyle="1" w:styleId="CommentSubjectChar">
    <w:name w:val="Comment Subject Char"/>
    <w:link w:val="CommentSubject"/>
    <w:rsid w:val="00FE39AB"/>
    <w:rPr>
      <w:b/>
      <w:bCs/>
      <w:lang w:val="en-US" w:eastAsia="en-US"/>
    </w:rPr>
  </w:style>
  <w:style w:type="paragraph" w:styleId="Revision">
    <w:name w:val="Revision"/>
    <w:hidden/>
    <w:uiPriority w:val="99"/>
    <w:semiHidden/>
    <w:rsid w:val="00224056"/>
    <w:rPr>
      <w:sz w:val="24"/>
    </w:rPr>
  </w:style>
  <w:style w:type="paragraph" w:customStyle="1" w:styleId="ecxmsonormal">
    <w:name w:val="ecxmsonormal"/>
    <w:basedOn w:val="Normal"/>
    <w:rsid w:val="00E73FD9"/>
    <w:pPr>
      <w:spacing w:after="324"/>
    </w:pPr>
    <w:rPr>
      <w:szCs w:val="24"/>
      <w:lang w:val="en-GB" w:eastAsia="en-GB"/>
    </w:rPr>
  </w:style>
  <w:style w:type="character" w:customStyle="1" w:styleId="BodyTextChar">
    <w:name w:val="Body Text Char"/>
    <w:link w:val="BodyText"/>
    <w:rsid w:val="00903B01"/>
    <w:rPr>
      <w:sz w:val="24"/>
      <w:lang w:eastAsia="en-US"/>
    </w:rPr>
  </w:style>
  <w:style w:type="character" w:customStyle="1" w:styleId="FooterChar">
    <w:name w:val="Footer Char"/>
    <w:link w:val="Footer"/>
    <w:rsid w:val="00685553"/>
    <w:rPr>
      <w:lang w:eastAsia="en-US"/>
    </w:rPr>
  </w:style>
  <w:style w:type="paragraph" w:customStyle="1" w:styleId="03Bodynospace">
    <w:name w:val="**03_Body (no space)"/>
    <w:basedOn w:val="Normal"/>
    <w:qFormat/>
    <w:rsid w:val="00991C20"/>
    <w:pPr>
      <w:tabs>
        <w:tab w:val="left" w:pos="360"/>
      </w:tabs>
    </w:pPr>
    <w:rPr>
      <w:rFonts w:ascii="Arial" w:hAnsi="Arial"/>
      <w:sz w:val="18"/>
      <w:szCs w:val="24"/>
      <w:lang w:val="en-GB"/>
    </w:rPr>
  </w:style>
  <w:style w:type="paragraph" w:styleId="ListParagraph">
    <w:name w:val="List Paragraph"/>
    <w:basedOn w:val="Normal"/>
    <w:uiPriority w:val="34"/>
    <w:qFormat/>
    <w:rsid w:val="00305199"/>
    <w:pPr>
      <w:ind w:left="720"/>
      <w:contextualSpacing/>
    </w:pPr>
  </w:style>
  <w:style w:type="paragraph" w:customStyle="1" w:styleId="cs2654ae3a">
    <w:name w:val="cs2654ae3a"/>
    <w:basedOn w:val="Normal"/>
    <w:rsid w:val="00685476"/>
    <w:rPr>
      <w:rFonts w:eastAsiaTheme="minorHAnsi"/>
      <w:szCs w:val="24"/>
      <w:lang w:val="en-GB" w:eastAsia="en-GB"/>
    </w:rPr>
  </w:style>
  <w:style w:type="character" w:customStyle="1" w:styleId="cs502788631">
    <w:name w:val="cs502788631"/>
    <w:basedOn w:val="DefaultParagraphFont"/>
    <w:rsid w:val="00685476"/>
    <w:rPr>
      <w:rFonts w:ascii="Microsoft Sans Serif" w:hAnsi="Microsoft Sans Serif" w:cs="Microsoft Sans Serif" w:hint="default"/>
      <w:b w:val="0"/>
      <w:bCs w:val="0"/>
      <w:i w:val="0"/>
      <w:iCs w:val="0"/>
      <w:color w:val="000000"/>
      <w:sz w:val="18"/>
      <w:szCs w:val="18"/>
    </w:rPr>
  </w:style>
  <w:style w:type="paragraph" w:customStyle="1" w:styleId="00Bodynospace">
    <w:name w:val="**00_Body (no space)"/>
    <w:basedOn w:val="Normal"/>
    <w:qFormat/>
    <w:rsid w:val="00CB431C"/>
    <w:pPr>
      <w:tabs>
        <w:tab w:val="left" w:pos="360"/>
      </w:tabs>
    </w:pPr>
    <w:rPr>
      <w:rFonts w:ascii="Arial" w:hAnsi="Arial"/>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5545">
      <w:bodyDiv w:val="1"/>
      <w:marLeft w:val="0"/>
      <w:marRight w:val="0"/>
      <w:marTop w:val="0"/>
      <w:marBottom w:val="0"/>
      <w:divBdr>
        <w:top w:val="none" w:sz="0" w:space="0" w:color="auto"/>
        <w:left w:val="none" w:sz="0" w:space="0" w:color="auto"/>
        <w:bottom w:val="none" w:sz="0" w:space="0" w:color="auto"/>
        <w:right w:val="none" w:sz="0" w:space="0" w:color="auto"/>
      </w:divBdr>
    </w:div>
    <w:div w:id="40522037">
      <w:bodyDiv w:val="1"/>
      <w:marLeft w:val="0"/>
      <w:marRight w:val="0"/>
      <w:marTop w:val="0"/>
      <w:marBottom w:val="0"/>
      <w:divBdr>
        <w:top w:val="none" w:sz="0" w:space="0" w:color="auto"/>
        <w:left w:val="none" w:sz="0" w:space="0" w:color="auto"/>
        <w:bottom w:val="none" w:sz="0" w:space="0" w:color="auto"/>
        <w:right w:val="none" w:sz="0" w:space="0" w:color="auto"/>
      </w:divBdr>
    </w:div>
    <w:div w:id="50078952">
      <w:bodyDiv w:val="1"/>
      <w:marLeft w:val="0"/>
      <w:marRight w:val="0"/>
      <w:marTop w:val="0"/>
      <w:marBottom w:val="0"/>
      <w:divBdr>
        <w:top w:val="none" w:sz="0" w:space="0" w:color="auto"/>
        <w:left w:val="none" w:sz="0" w:space="0" w:color="auto"/>
        <w:bottom w:val="none" w:sz="0" w:space="0" w:color="auto"/>
        <w:right w:val="none" w:sz="0" w:space="0" w:color="auto"/>
      </w:divBdr>
    </w:div>
    <w:div w:id="98723341">
      <w:bodyDiv w:val="1"/>
      <w:marLeft w:val="0"/>
      <w:marRight w:val="0"/>
      <w:marTop w:val="0"/>
      <w:marBottom w:val="0"/>
      <w:divBdr>
        <w:top w:val="none" w:sz="0" w:space="0" w:color="auto"/>
        <w:left w:val="none" w:sz="0" w:space="0" w:color="auto"/>
        <w:bottom w:val="none" w:sz="0" w:space="0" w:color="auto"/>
        <w:right w:val="none" w:sz="0" w:space="0" w:color="auto"/>
      </w:divBdr>
    </w:div>
    <w:div w:id="136188650">
      <w:bodyDiv w:val="1"/>
      <w:marLeft w:val="0"/>
      <w:marRight w:val="0"/>
      <w:marTop w:val="0"/>
      <w:marBottom w:val="0"/>
      <w:divBdr>
        <w:top w:val="none" w:sz="0" w:space="0" w:color="auto"/>
        <w:left w:val="none" w:sz="0" w:space="0" w:color="auto"/>
        <w:bottom w:val="none" w:sz="0" w:space="0" w:color="auto"/>
        <w:right w:val="none" w:sz="0" w:space="0" w:color="auto"/>
      </w:divBdr>
    </w:div>
    <w:div w:id="186910320">
      <w:bodyDiv w:val="1"/>
      <w:marLeft w:val="0"/>
      <w:marRight w:val="0"/>
      <w:marTop w:val="0"/>
      <w:marBottom w:val="0"/>
      <w:divBdr>
        <w:top w:val="none" w:sz="0" w:space="0" w:color="auto"/>
        <w:left w:val="none" w:sz="0" w:space="0" w:color="auto"/>
        <w:bottom w:val="none" w:sz="0" w:space="0" w:color="auto"/>
        <w:right w:val="none" w:sz="0" w:space="0" w:color="auto"/>
      </w:divBdr>
    </w:div>
    <w:div w:id="189337817">
      <w:bodyDiv w:val="1"/>
      <w:marLeft w:val="0"/>
      <w:marRight w:val="0"/>
      <w:marTop w:val="0"/>
      <w:marBottom w:val="0"/>
      <w:divBdr>
        <w:top w:val="none" w:sz="0" w:space="0" w:color="auto"/>
        <w:left w:val="none" w:sz="0" w:space="0" w:color="auto"/>
        <w:bottom w:val="none" w:sz="0" w:space="0" w:color="auto"/>
        <w:right w:val="none" w:sz="0" w:space="0" w:color="auto"/>
      </w:divBdr>
    </w:div>
    <w:div w:id="248466288">
      <w:bodyDiv w:val="1"/>
      <w:marLeft w:val="0"/>
      <w:marRight w:val="0"/>
      <w:marTop w:val="0"/>
      <w:marBottom w:val="0"/>
      <w:divBdr>
        <w:top w:val="none" w:sz="0" w:space="0" w:color="auto"/>
        <w:left w:val="none" w:sz="0" w:space="0" w:color="auto"/>
        <w:bottom w:val="none" w:sz="0" w:space="0" w:color="auto"/>
        <w:right w:val="none" w:sz="0" w:space="0" w:color="auto"/>
      </w:divBdr>
    </w:div>
    <w:div w:id="252515548">
      <w:bodyDiv w:val="1"/>
      <w:marLeft w:val="0"/>
      <w:marRight w:val="0"/>
      <w:marTop w:val="0"/>
      <w:marBottom w:val="0"/>
      <w:divBdr>
        <w:top w:val="none" w:sz="0" w:space="0" w:color="auto"/>
        <w:left w:val="none" w:sz="0" w:space="0" w:color="auto"/>
        <w:bottom w:val="none" w:sz="0" w:space="0" w:color="auto"/>
        <w:right w:val="none" w:sz="0" w:space="0" w:color="auto"/>
      </w:divBdr>
    </w:div>
    <w:div w:id="380640751">
      <w:bodyDiv w:val="1"/>
      <w:marLeft w:val="0"/>
      <w:marRight w:val="0"/>
      <w:marTop w:val="0"/>
      <w:marBottom w:val="0"/>
      <w:divBdr>
        <w:top w:val="none" w:sz="0" w:space="0" w:color="auto"/>
        <w:left w:val="none" w:sz="0" w:space="0" w:color="auto"/>
        <w:bottom w:val="none" w:sz="0" w:space="0" w:color="auto"/>
        <w:right w:val="none" w:sz="0" w:space="0" w:color="auto"/>
      </w:divBdr>
    </w:div>
    <w:div w:id="392243340">
      <w:bodyDiv w:val="1"/>
      <w:marLeft w:val="0"/>
      <w:marRight w:val="0"/>
      <w:marTop w:val="0"/>
      <w:marBottom w:val="0"/>
      <w:divBdr>
        <w:top w:val="none" w:sz="0" w:space="0" w:color="auto"/>
        <w:left w:val="none" w:sz="0" w:space="0" w:color="auto"/>
        <w:bottom w:val="none" w:sz="0" w:space="0" w:color="auto"/>
        <w:right w:val="none" w:sz="0" w:space="0" w:color="auto"/>
      </w:divBdr>
    </w:div>
    <w:div w:id="404106402">
      <w:bodyDiv w:val="1"/>
      <w:marLeft w:val="0"/>
      <w:marRight w:val="0"/>
      <w:marTop w:val="0"/>
      <w:marBottom w:val="0"/>
      <w:divBdr>
        <w:top w:val="none" w:sz="0" w:space="0" w:color="auto"/>
        <w:left w:val="none" w:sz="0" w:space="0" w:color="auto"/>
        <w:bottom w:val="none" w:sz="0" w:space="0" w:color="auto"/>
        <w:right w:val="none" w:sz="0" w:space="0" w:color="auto"/>
      </w:divBdr>
    </w:div>
    <w:div w:id="416096820">
      <w:bodyDiv w:val="1"/>
      <w:marLeft w:val="0"/>
      <w:marRight w:val="0"/>
      <w:marTop w:val="0"/>
      <w:marBottom w:val="0"/>
      <w:divBdr>
        <w:top w:val="none" w:sz="0" w:space="0" w:color="auto"/>
        <w:left w:val="none" w:sz="0" w:space="0" w:color="auto"/>
        <w:bottom w:val="none" w:sz="0" w:space="0" w:color="auto"/>
        <w:right w:val="none" w:sz="0" w:space="0" w:color="auto"/>
      </w:divBdr>
    </w:div>
    <w:div w:id="449277982">
      <w:bodyDiv w:val="1"/>
      <w:marLeft w:val="0"/>
      <w:marRight w:val="0"/>
      <w:marTop w:val="0"/>
      <w:marBottom w:val="0"/>
      <w:divBdr>
        <w:top w:val="none" w:sz="0" w:space="0" w:color="auto"/>
        <w:left w:val="none" w:sz="0" w:space="0" w:color="auto"/>
        <w:bottom w:val="none" w:sz="0" w:space="0" w:color="auto"/>
        <w:right w:val="none" w:sz="0" w:space="0" w:color="auto"/>
      </w:divBdr>
    </w:div>
    <w:div w:id="463691839">
      <w:bodyDiv w:val="1"/>
      <w:marLeft w:val="0"/>
      <w:marRight w:val="0"/>
      <w:marTop w:val="0"/>
      <w:marBottom w:val="0"/>
      <w:divBdr>
        <w:top w:val="none" w:sz="0" w:space="0" w:color="auto"/>
        <w:left w:val="none" w:sz="0" w:space="0" w:color="auto"/>
        <w:bottom w:val="none" w:sz="0" w:space="0" w:color="auto"/>
        <w:right w:val="none" w:sz="0" w:space="0" w:color="auto"/>
      </w:divBdr>
    </w:div>
    <w:div w:id="480269853">
      <w:bodyDiv w:val="1"/>
      <w:marLeft w:val="0"/>
      <w:marRight w:val="0"/>
      <w:marTop w:val="0"/>
      <w:marBottom w:val="0"/>
      <w:divBdr>
        <w:top w:val="none" w:sz="0" w:space="0" w:color="auto"/>
        <w:left w:val="none" w:sz="0" w:space="0" w:color="auto"/>
        <w:bottom w:val="none" w:sz="0" w:space="0" w:color="auto"/>
        <w:right w:val="none" w:sz="0" w:space="0" w:color="auto"/>
      </w:divBdr>
      <w:divsChild>
        <w:div w:id="238448869">
          <w:marLeft w:val="0"/>
          <w:marRight w:val="0"/>
          <w:marTop w:val="0"/>
          <w:marBottom w:val="0"/>
          <w:divBdr>
            <w:top w:val="none" w:sz="0" w:space="0" w:color="auto"/>
            <w:left w:val="none" w:sz="0" w:space="0" w:color="auto"/>
            <w:bottom w:val="none" w:sz="0" w:space="0" w:color="auto"/>
            <w:right w:val="none" w:sz="0" w:space="0" w:color="auto"/>
          </w:divBdr>
          <w:divsChild>
            <w:div w:id="698972436">
              <w:marLeft w:val="0"/>
              <w:marRight w:val="0"/>
              <w:marTop w:val="0"/>
              <w:marBottom w:val="0"/>
              <w:divBdr>
                <w:top w:val="none" w:sz="0" w:space="0" w:color="auto"/>
                <w:left w:val="none" w:sz="0" w:space="0" w:color="auto"/>
                <w:bottom w:val="none" w:sz="0" w:space="0" w:color="auto"/>
                <w:right w:val="none" w:sz="0" w:space="0" w:color="auto"/>
              </w:divBdr>
            </w:div>
            <w:div w:id="2029215555">
              <w:marLeft w:val="0"/>
              <w:marRight w:val="0"/>
              <w:marTop w:val="0"/>
              <w:marBottom w:val="0"/>
              <w:divBdr>
                <w:top w:val="none" w:sz="0" w:space="0" w:color="auto"/>
                <w:left w:val="none" w:sz="0" w:space="0" w:color="auto"/>
                <w:bottom w:val="none" w:sz="0" w:space="0" w:color="auto"/>
                <w:right w:val="none" w:sz="0" w:space="0" w:color="auto"/>
              </w:divBdr>
            </w:div>
          </w:divsChild>
        </w:div>
        <w:div w:id="1614511656">
          <w:marLeft w:val="0"/>
          <w:marRight w:val="0"/>
          <w:marTop w:val="0"/>
          <w:marBottom w:val="0"/>
          <w:divBdr>
            <w:top w:val="none" w:sz="0" w:space="0" w:color="auto"/>
            <w:left w:val="none" w:sz="0" w:space="0" w:color="auto"/>
            <w:bottom w:val="none" w:sz="0" w:space="0" w:color="auto"/>
            <w:right w:val="none" w:sz="0" w:space="0" w:color="auto"/>
          </w:divBdr>
        </w:div>
      </w:divsChild>
    </w:div>
    <w:div w:id="568460586">
      <w:bodyDiv w:val="1"/>
      <w:marLeft w:val="0"/>
      <w:marRight w:val="0"/>
      <w:marTop w:val="0"/>
      <w:marBottom w:val="0"/>
      <w:divBdr>
        <w:top w:val="none" w:sz="0" w:space="0" w:color="auto"/>
        <w:left w:val="none" w:sz="0" w:space="0" w:color="auto"/>
        <w:bottom w:val="none" w:sz="0" w:space="0" w:color="auto"/>
        <w:right w:val="none" w:sz="0" w:space="0" w:color="auto"/>
      </w:divBdr>
    </w:div>
    <w:div w:id="617031256">
      <w:bodyDiv w:val="1"/>
      <w:marLeft w:val="0"/>
      <w:marRight w:val="0"/>
      <w:marTop w:val="0"/>
      <w:marBottom w:val="0"/>
      <w:divBdr>
        <w:top w:val="none" w:sz="0" w:space="0" w:color="auto"/>
        <w:left w:val="none" w:sz="0" w:space="0" w:color="auto"/>
        <w:bottom w:val="none" w:sz="0" w:space="0" w:color="auto"/>
        <w:right w:val="none" w:sz="0" w:space="0" w:color="auto"/>
      </w:divBdr>
    </w:div>
    <w:div w:id="668365209">
      <w:bodyDiv w:val="1"/>
      <w:marLeft w:val="0"/>
      <w:marRight w:val="0"/>
      <w:marTop w:val="0"/>
      <w:marBottom w:val="0"/>
      <w:divBdr>
        <w:top w:val="none" w:sz="0" w:space="0" w:color="auto"/>
        <w:left w:val="none" w:sz="0" w:space="0" w:color="auto"/>
        <w:bottom w:val="none" w:sz="0" w:space="0" w:color="auto"/>
        <w:right w:val="none" w:sz="0" w:space="0" w:color="auto"/>
      </w:divBdr>
    </w:div>
    <w:div w:id="706224364">
      <w:bodyDiv w:val="1"/>
      <w:marLeft w:val="0"/>
      <w:marRight w:val="0"/>
      <w:marTop w:val="0"/>
      <w:marBottom w:val="0"/>
      <w:divBdr>
        <w:top w:val="none" w:sz="0" w:space="0" w:color="auto"/>
        <w:left w:val="none" w:sz="0" w:space="0" w:color="auto"/>
        <w:bottom w:val="none" w:sz="0" w:space="0" w:color="auto"/>
        <w:right w:val="none" w:sz="0" w:space="0" w:color="auto"/>
      </w:divBdr>
    </w:div>
    <w:div w:id="768310525">
      <w:bodyDiv w:val="1"/>
      <w:marLeft w:val="0"/>
      <w:marRight w:val="0"/>
      <w:marTop w:val="0"/>
      <w:marBottom w:val="0"/>
      <w:divBdr>
        <w:top w:val="none" w:sz="0" w:space="0" w:color="auto"/>
        <w:left w:val="none" w:sz="0" w:space="0" w:color="auto"/>
        <w:bottom w:val="none" w:sz="0" w:space="0" w:color="auto"/>
        <w:right w:val="none" w:sz="0" w:space="0" w:color="auto"/>
      </w:divBdr>
    </w:div>
    <w:div w:id="781535802">
      <w:bodyDiv w:val="1"/>
      <w:marLeft w:val="0"/>
      <w:marRight w:val="0"/>
      <w:marTop w:val="0"/>
      <w:marBottom w:val="0"/>
      <w:divBdr>
        <w:top w:val="none" w:sz="0" w:space="0" w:color="auto"/>
        <w:left w:val="none" w:sz="0" w:space="0" w:color="auto"/>
        <w:bottom w:val="none" w:sz="0" w:space="0" w:color="auto"/>
        <w:right w:val="none" w:sz="0" w:space="0" w:color="auto"/>
      </w:divBdr>
    </w:div>
    <w:div w:id="805701844">
      <w:bodyDiv w:val="1"/>
      <w:marLeft w:val="0"/>
      <w:marRight w:val="0"/>
      <w:marTop w:val="0"/>
      <w:marBottom w:val="0"/>
      <w:divBdr>
        <w:top w:val="none" w:sz="0" w:space="0" w:color="auto"/>
        <w:left w:val="none" w:sz="0" w:space="0" w:color="auto"/>
        <w:bottom w:val="none" w:sz="0" w:space="0" w:color="auto"/>
        <w:right w:val="none" w:sz="0" w:space="0" w:color="auto"/>
      </w:divBdr>
    </w:div>
    <w:div w:id="831988192">
      <w:bodyDiv w:val="1"/>
      <w:marLeft w:val="0"/>
      <w:marRight w:val="0"/>
      <w:marTop w:val="0"/>
      <w:marBottom w:val="0"/>
      <w:divBdr>
        <w:top w:val="none" w:sz="0" w:space="0" w:color="auto"/>
        <w:left w:val="none" w:sz="0" w:space="0" w:color="auto"/>
        <w:bottom w:val="none" w:sz="0" w:space="0" w:color="auto"/>
        <w:right w:val="none" w:sz="0" w:space="0" w:color="auto"/>
      </w:divBdr>
    </w:div>
    <w:div w:id="871263479">
      <w:bodyDiv w:val="1"/>
      <w:marLeft w:val="0"/>
      <w:marRight w:val="0"/>
      <w:marTop w:val="0"/>
      <w:marBottom w:val="0"/>
      <w:divBdr>
        <w:top w:val="none" w:sz="0" w:space="0" w:color="auto"/>
        <w:left w:val="none" w:sz="0" w:space="0" w:color="auto"/>
        <w:bottom w:val="none" w:sz="0" w:space="0" w:color="auto"/>
        <w:right w:val="none" w:sz="0" w:space="0" w:color="auto"/>
      </w:divBdr>
    </w:div>
    <w:div w:id="944772458">
      <w:bodyDiv w:val="1"/>
      <w:marLeft w:val="0"/>
      <w:marRight w:val="0"/>
      <w:marTop w:val="0"/>
      <w:marBottom w:val="0"/>
      <w:divBdr>
        <w:top w:val="none" w:sz="0" w:space="0" w:color="auto"/>
        <w:left w:val="none" w:sz="0" w:space="0" w:color="auto"/>
        <w:bottom w:val="none" w:sz="0" w:space="0" w:color="auto"/>
        <w:right w:val="none" w:sz="0" w:space="0" w:color="auto"/>
      </w:divBdr>
    </w:div>
    <w:div w:id="981084912">
      <w:bodyDiv w:val="1"/>
      <w:marLeft w:val="0"/>
      <w:marRight w:val="0"/>
      <w:marTop w:val="0"/>
      <w:marBottom w:val="0"/>
      <w:divBdr>
        <w:top w:val="none" w:sz="0" w:space="0" w:color="auto"/>
        <w:left w:val="none" w:sz="0" w:space="0" w:color="auto"/>
        <w:bottom w:val="none" w:sz="0" w:space="0" w:color="auto"/>
        <w:right w:val="none" w:sz="0" w:space="0" w:color="auto"/>
      </w:divBdr>
    </w:div>
    <w:div w:id="1035084885">
      <w:bodyDiv w:val="1"/>
      <w:marLeft w:val="0"/>
      <w:marRight w:val="0"/>
      <w:marTop w:val="0"/>
      <w:marBottom w:val="0"/>
      <w:divBdr>
        <w:top w:val="none" w:sz="0" w:space="0" w:color="auto"/>
        <w:left w:val="none" w:sz="0" w:space="0" w:color="auto"/>
        <w:bottom w:val="none" w:sz="0" w:space="0" w:color="auto"/>
        <w:right w:val="none" w:sz="0" w:space="0" w:color="auto"/>
      </w:divBdr>
    </w:div>
    <w:div w:id="1044133177">
      <w:bodyDiv w:val="1"/>
      <w:marLeft w:val="0"/>
      <w:marRight w:val="0"/>
      <w:marTop w:val="0"/>
      <w:marBottom w:val="0"/>
      <w:divBdr>
        <w:top w:val="none" w:sz="0" w:space="0" w:color="auto"/>
        <w:left w:val="none" w:sz="0" w:space="0" w:color="auto"/>
        <w:bottom w:val="none" w:sz="0" w:space="0" w:color="auto"/>
        <w:right w:val="none" w:sz="0" w:space="0" w:color="auto"/>
      </w:divBdr>
    </w:div>
    <w:div w:id="1059789822">
      <w:bodyDiv w:val="1"/>
      <w:marLeft w:val="0"/>
      <w:marRight w:val="0"/>
      <w:marTop w:val="0"/>
      <w:marBottom w:val="0"/>
      <w:divBdr>
        <w:top w:val="none" w:sz="0" w:space="0" w:color="auto"/>
        <w:left w:val="none" w:sz="0" w:space="0" w:color="auto"/>
        <w:bottom w:val="none" w:sz="0" w:space="0" w:color="auto"/>
        <w:right w:val="none" w:sz="0" w:space="0" w:color="auto"/>
      </w:divBdr>
    </w:div>
    <w:div w:id="1081364725">
      <w:bodyDiv w:val="1"/>
      <w:marLeft w:val="0"/>
      <w:marRight w:val="0"/>
      <w:marTop w:val="0"/>
      <w:marBottom w:val="0"/>
      <w:divBdr>
        <w:top w:val="none" w:sz="0" w:space="0" w:color="auto"/>
        <w:left w:val="none" w:sz="0" w:space="0" w:color="auto"/>
        <w:bottom w:val="none" w:sz="0" w:space="0" w:color="auto"/>
        <w:right w:val="none" w:sz="0" w:space="0" w:color="auto"/>
      </w:divBdr>
    </w:div>
    <w:div w:id="1122650463">
      <w:bodyDiv w:val="1"/>
      <w:marLeft w:val="0"/>
      <w:marRight w:val="0"/>
      <w:marTop w:val="0"/>
      <w:marBottom w:val="0"/>
      <w:divBdr>
        <w:top w:val="none" w:sz="0" w:space="0" w:color="auto"/>
        <w:left w:val="none" w:sz="0" w:space="0" w:color="auto"/>
        <w:bottom w:val="none" w:sz="0" w:space="0" w:color="auto"/>
        <w:right w:val="none" w:sz="0" w:space="0" w:color="auto"/>
      </w:divBdr>
    </w:div>
    <w:div w:id="1128661955">
      <w:bodyDiv w:val="1"/>
      <w:marLeft w:val="0"/>
      <w:marRight w:val="0"/>
      <w:marTop w:val="0"/>
      <w:marBottom w:val="0"/>
      <w:divBdr>
        <w:top w:val="none" w:sz="0" w:space="0" w:color="auto"/>
        <w:left w:val="none" w:sz="0" w:space="0" w:color="auto"/>
        <w:bottom w:val="none" w:sz="0" w:space="0" w:color="auto"/>
        <w:right w:val="none" w:sz="0" w:space="0" w:color="auto"/>
      </w:divBdr>
    </w:div>
    <w:div w:id="1135102348">
      <w:bodyDiv w:val="1"/>
      <w:marLeft w:val="0"/>
      <w:marRight w:val="0"/>
      <w:marTop w:val="0"/>
      <w:marBottom w:val="0"/>
      <w:divBdr>
        <w:top w:val="none" w:sz="0" w:space="0" w:color="auto"/>
        <w:left w:val="none" w:sz="0" w:space="0" w:color="auto"/>
        <w:bottom w:val="none" w:sz="0" w:space="0" w:color="auto"/>
        <w:right w:val="none" w:sz="0" w:space="0" w:color="auto"/>
      </w:divBdr>
    </w:div>
    <w:div w:id="1184898629">
      <w:bodyDiv w:val="1"/>
      <w:marLeft w:val="0"/>
      <w:marRight w:val="0"/>
      <w:marTop w:val="0"/>
      <w:marBottom w:val="0"/>
      <w:divBdr>
        <w:top w:val="none" w:sz="0" w:space="0" w:color="auto"/>
        <w:left w:val="none" w:sz="0" w:space="0" w:color="auto"/>
        <w:bottom w:val="none" w:sz="0" w:space="0" w:color="auto"/>
        <w:right w:val="none" w:sz="0" w:space="0" w:color="auto"/>
      </w:divBdr>
    </w:div>
    <w:div w:id="1220938597">
      <w:bodyDiv w:val="1"/>
      <w:marLeft w:val="0"/>
      <w:marRight w:val="0"/>
      <w:marTop w:val="0"/>
      <w:marBottom w:val="0"/>
      <w:divBdr>
        <w:top w:val="none" w:sz="0" w:space="0" w:color="auto"/>
        <w:left w:val="none" w:sz="0" w:space="0" w:color="auto"/>
        <w:bottom w:val="none" w:sz="0" w:space="0" w:color="auto"/>
        <w:right w:val="none" w:sz="0" w:space="0" w:color="auto"/>
      </w:divBdr>
    </w:div>
    <w:div w:id="1242250742">
      <w:bodyDiv w:val="1"/>
      <w:marLeft w:val="0"/>
      <w:marRight w:val="0"/>
      <w:marTop w:val="0"/>
      <w:marBottom w:val="0"/>
      <w:divBdr>
        <w:top w:val="none" w:sz="0" w:space="0" w:color="auto"/>
        <w:left w:val="none" w:sz="0" w:space="0" w:color="auto"/>
        <w:bottom w:val="none" w:sz="0" w:space="0" w:color="auto"/>
        <w:right w:val="none" w:sz="0" w:space="0" w:color="auto"/>
      </w:divBdr>
    </w:div>
    <w:div w:id="1269388447">
      <w:bodyDiv w:val="1"/>
      <w:marLeft w:val="0"/>
      <w:marRight w:val="0"/>
      <w:marTop w:val="0"/>
      <w:marBottom w:val="0"/>
      <w:divBdr>
        <w:top w:val="none" w:sz="0" w:space="0" w:color="auto"/>
        <w:left w:val="none" w:sz="0" w:space="0" w:color="auto"/>
        <w:bottom w:val="none" w:sz="0" w:space="0" w:color="auto"/>
        <w:right w:val="none" w:sz="0" w:space="0" w:color="auto"/>
      </w:divBdr>
    </w:div>
    <w:div w:id="1272660650">
      <w:bodyDiv w:val="1"/>
      <w:marLeft w:val="0"/>
      <w:marRight w:val="0"/>
      <w:marTop w:val="0"/>
      <w:marBottom w:val="0"/>
      <w:divBdr>
        <w:top w:val="none" w:sz="0" w:space="0" w:color="auto"/>
        <w:left w:val="none" w:sz="0" w:space="0" w:color="auto"/>
        <w:bottom w:val="none" w:sz="0" w:space="0" w:color="auto"/>
        <w:right w:val="none" w:sz="0" w:space="0" w:color="auto"/>
      </w:divBdr>
    </w:div>
    <w:div w:id="1304508065">
      <w:bodyDiv w:val="1"/>
      <w:marLeft w:val="0"/>
      <w:marRight w:val="0"/>
      <w:marTop w:val="0"/>
      <w:marBottom w:val="0"/>
      <w:divBdr>
        <w:top w:val="none" w:sz="0" w:space="0" w:color="auto"/>
        <w:left w:val="none" w:sz="0" w:space="0" w:color="auto"/>
        <w:bottom w:val="none" w:sz="0" w:space="0" w:color="auto"/>
        <w:right w:val="none" w:sz="0" w:space="0" w:color="auto"/>
      </w:divBdr>
    </w:div>
    <w:div w:id="1371301602">
      <w:bodyDiv w:val="1"/>
      <w:marLeft w:val="0"/>
      <w:marRight w:val="0"/>
      <w:marTop w:val="0"/>
      <w:marBottom w:val="0"/>
      <w:divBdr>
        <w:top w:val="none" w:sz="0" w:space="0" w:color="auto"/>
        <w:left w:val="none" w:sz="0" w:space="0" w:color="auto"/>
        <w:bottom w:val="none" w:sz="0" w:space="0" w:color="auto"/>
        <w:right w:val="none" w:sz="0" w:space="0" w:color="auto"/>
      </w:divBdr>
    </w:div>
    <w:div w:id="1417823561">
      <w:bodyDiv w:val="1"/>
      <w:marLeft w:val="0"/>
      <w:marRight w:val="0"/>
      <w:marTop w:val="0"/>
      <w:marBottom w:val="0"/>
      <w:divBdr>
        <w:top w:val="none" w:sz="0" w:space="0" w:color="auto"/>
        <w:left w:val="none" w:sz="0" w:space="0" w:color="auto"/>
        <w:bottom w:val="none" w:sz="0" w:space="0" w:color="auto"/>
        <w:right w:val="none" w:sz="0" w:space="0" w:color="auto"/>
      </w:divBdr>
    </w:div>
    <w:div w:id="1423912275">
      <w:bodyDiv w:val="1"/>
      <w:marLeft w:val="0"/>
      <w:marRight w:val="0"/>
      <w:marTop w:val="0"/>
      <w:marBottom w:val="0"/>
      <w:divBdr>
        <w:top w:val="none" w:sz="0" w:space="0" w:color="auto"/>
        <w:left w:val="none" w:sz="0" w:space="0" w:color="auto"/>
        <w:bottom w:val="none" w:sz="0" w:space="0" w:color="auto"/>
        <w:right w:val="none" w:sz="0" w:space="0" w:color="auto"/>
      </w:divBdr>
    </w:div>
    <w:div w:id="1432168466">
      <w:bodyDiv w:val="1"/>
      <w:marLeft w:val="0"/>
      <w:marRight w:val="0"/>
      <w:marTop w:val="0"/>
      <w:marBottom w:val="0"/>
      <w:divBdr>
        <w:top w:val="none" w:sz="0" w:space="0" w:color="auto"/>
        <w:left w:val="none" w:sz="0" w:space="0" w:color="auto"/>
        <w:bottom w:val="none" w:sz="0" w:space="0" w:color="auto"/>
        <w:right w:val="none" w:sz="0" w:space="0" w:color="auto"/>
      </w:divBdr>
    </w:div>
    <w:div w:id="1440250242">
      <w:bodyDiv w:val="1"/>
      <w:marLeft w:val="0"/>
      <w:marRight w:val="0"/>
      <w:marTop w:val="0"/>
      <w:marBottom w:val="0"/>
      <w:divBdr>
        <w:top w:val="none" w:sz="0" w:space="0" w:color="auto"/>
        <w:left w:val="none" w:sz="0" w:space="0" w:color="auto"/>
        <w:bottom w:val="none" w:sz="0" w:space="0" w:color="auto"/>
        <w:right w:val="none" w:sz="0" w:space="0" w:color="auto"/>
      </w:divBdr>
      <w:divsChild>
        <w:div w:id="1547258627">
          <w:marLeft w:val="0"/>
          <w:marRight w:val="0"/>
          <w:marTop w:val="0"/>
          <w:marBottom w:val="0"/>
          <w:divBdr>
            <w:top w:val="none" w:sz="0" w:space="0" w:color="auto"/>
            <w:left w:val="none" w:sz="0" w:space="0" w:color="auto"/>
            <w:bottom w:val="none" w:sz="0" w:space="0" w:color="auto"/>
            <w:right w:val="none" w:sz="0" w:space="0" w:color="auto"/>
          </w:divBdr>
          <w:divsChild>
            <w:div w:id="320696770">
              <w:marLeft w:val="0"/>
              <w:marRight w:val="0"/>
              <w:marTop w:val="0"/>
              <w:marBottom w:val="0"/>
              <w:divBdr>
                <w:top w:val="none" w:sz="0" w:space="0" w:color="auto"/>
                <w:left w:val="none" w:sz="0" w:space="0" w:color="auto"/>
                <w:bottom w:val="none" w:sz="0" w:space="0" w:color="auto"/>
                <w:right w:val="none" w:sz="0" w:space="0" w:color="auto"/>
              </w:divBdr>
              <w:divsChild>
                <w:div w:id="1576893042">
                  <w:marLeft w:val="0"/>
                  <w:marRight w:val="0"/>
                  <w:marTop w:val="0"/>
                  <w:marBottom w:val="0"/>
                  <w:divBdr>
                    <w:top w:val="none" w:sz="0" w:space="0" w:color="auto"/>
                    <w:left w:val="none" w:sz="0" w:space="0" w:color="auto"/>
                    <w:bottom w:val="none" w:sz="0" w:space="0" w:color="auto"/>
                    <w:right w:val="none" w:sz="0" w:space="0" w:color="auto"/>
                  </w:divBdr>
                  <w:divsChild>
                    <w:div w:id="1579750170">
                      <w:marLeft w:val="0"/>
                      <w:marRight w:val="0"/>
                      <w:marTop w:val="0"/>
                      <w:marBottom w:val="0"/>
                      <w:divBdr>
                        <w:top w:val="none" w:sz="0" w:space="0" w:color="auto"/>
                        <w:left w:val="none" w:sz="0" w:space="0" w:color="auto"/>
                        <w:bottom w:val="none" w:sz="0" w:space="0" w:color="auto"/>
                        <w:right w:val="none" w:sz="0" w:space="0" w:color="auto"/>
                      </w:divBdr>
                      <w:divsChild>
                        <w:div w:id="19955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584816">
      <w:bodyDiv w:val="1"/>
      <w:marLeft w:val="0"/>
      <w:marRight w:val="0"/>
      <w:marTop w:val="0"/>
      <w:marBottom w:val="0"/>
      <w:divBdr>
        <w:top w:val="none" w:sz="0" w:space="0" w:color="auto"/>
        <w:left w:val="none" w:sz="0" w:space="0" w:color="auto"/>
        <w:bottom w:val="none" w:sz="0" w:space="0" w:color="auto"/>
        <w:right w:val="none" w:sz="0" w:space="0" w:color="auto"/>
      </w:divBdr>
    </w:div>
    <w:div w:id="1594629330">
      <w:bodyDiv w:val="1"/>
      <w:marLeft w:val="0"/>
      <w:marRight w:val="0"/>
      <w:marTop w:val="0"/>
      <w:marBottom w:val="0"/>
      <w:divBdr>
        <w:top w:val="none" w:sz="0" w:space="0" w:color="auto"/>
        <w:left w:val="none" w:sz="0" w:space="0" w:color="auto"/>
        <w:bottom w:val="none" w:sz="0" w:space="0" w:color="auto"/>
        <w:right w:val="none" w:sz="0" w:space="0" w:color="auto"/>
      </w:divBdr>
    </w:div>
    <w:div w:id="1743092933">
      <w:bodyDiv w:val="1"/>
      <w:marLeft w:val="0"/>
      <w:marRight w:val="0"/>
      <w:marTop w:val="0"/>
      <w:marBottom w:val="0"/>
      <w:divBdr>
        <w:top w:val="none" w:sz="0" w:space="0" w:color="auto"/>
        <w:left w:val="none" w:sz="0" w:space="0" w:color="auto"/>
        <w:bottom w:val="none" w:sz="0" w:space="0" w:color="auto"/>
        <w:right w:val="none" w:sz="0" w:space="0" w:color="auto"/>
      </w:divBdr>
    </w:div>
    <w:div w:id="1802141279">
      <w:bodyDiv w:val="1"/>
      <w:marLeft w:val="0"/>
      <w:marRight w:val="0"/>
      <w:marTop w:val="0"/>
      <w:marBottom w:val="0"/>
      <w:divBdr>
        <w:top w:val="none" w:sz="0" w:space="0" w:color="auto"/>
        <w:left w:val="none" w:sz="0" w:space="0" w:color="auto"/>
        <w:bottom w:val="none" w:sz="0" w:space="0" w:color="auto"/>
        <w:right w:val="none" w:sz="0" w:space="0" w:color="auto"/>
      </w:divBdr>
    </w:div>
    <w:div w:id="1814717097">
      <w:bodyDiv w:val="1"/>
      <w:marLeft w:val="0"/>
      <w:marRight w:val="0"/>
      <w:marTop w:val="0"/>
      <w:marBottom w:val="0"/>
      <w:divBdr>
        <w:top w:val="none" w:sz="0" w:space="0" w:color="auto"/>
        <w:left w:val="none" w:sz="0" w:space="0" w:color="auto"/>
        <w:bottom w:val="none" w:sz="0" w:space="0" w:color="auto"/>
        <w:right w:val="none" w:sz="0" w:space="0" w:color="auto"/>
      </w:divBdr>
    </w:div>
    <w:div w:id="1860506503">
      <w:bodyDiv w:val="1"/>
      <w:marLeft w:val="0"/>
      <w:marRight w:val="0"/>
      <w:marTop w:val="0"/>
      <w:marBottom w:val="0"/>
      <w:divBdr>
        <w:top w:val="none" w:sz="0" w:space="0" w:color="auto"/>
        <w:left w:val="none" w:sz="0" w:space="0" w:color="auto"/>
        <w:bottom w:val="none" w:sz="0" w:space="0" w:color="auto"/>
        <w:right w:val="none" w:sz="0" w:space="0" w:color="auto"/>
      </w:divBdr>
    </w:div>
    <w:div w:id="1925337780">
      <w:bodyDiv w:val="1"/>
      <w:marLeft w:val="0"/>
      <w:marRight w:val="0"/>
      <w:marTop w:val="0"/>
      <w:marBottom w:val="0"/>
      <w:divBdr>
        <w:top w:val="none" w:sz="0" w:space="0" w:color="auto"/>
        <w:left w:val="none" w:sz="0" w:space="0" w:color="auto"/>
        <w:bottom w:val="none" w:sz="0" w:space="0" w:color="auto"/>
        <w:right w:val="none" w:sz="0" w:space="0" w:color="auto"/>
      </w:divBdr>
    </w:div>
    <w:div w:id="1940984672">
      <w:bodyDiv w:val="1"/>
      <w:marLeft w:val="0"/>
      <w:marRight w:val="0"/>
      <w:marTop w:val="0"/>
      <w:marBottom w:val="0"/>
      <w:divBdr>
        <w:top w:val="none" w:sz="0" w:space="0" w:color="auto"/>
        <w:left w:val="none" w:sz="0" w:space="0" w:color="auto"/>
        <w:bottom w:val="none" w:sz="0" w:space="0" w:color="auto"/>
        <w:right w:val="none" w:sz="0" w:space="0" w:color="auto"/>
      </w:divBdr>
    </w:div>
    <w:div w:id="1977635308">
      <w:bodyDiv w:val="1"/>
      <w:marLeft w:val="0"/>
      <w:marRight w:val="0"/>
      <w:marTop w:val="0"/>
      <w:marBottom w:val="0"/>
      <w:divBdr>
        <w:top w:val="none" w:sz="0" w:space="0" w:color="auto"/>
        <w:left w:val="none" w:sz="0" w:space="0" w:color="auto"/>
        <w:bottom w:val="none" w:sz="0" w:space="0" w:color="auto"/>
        <w:right w:val="none" w:sz="0" w:space="0" w:color="auto"/>
      </w:divBdr>
    </w:div>
    <w:div w:id="2000499632">
      <w:bodyDiv w:val="1"/>
      <w:marLeft w:val="0"/>
      <w:marRight w:val="0"/>
      <w:marTop w:val="0"/>
      <w:marBottom w:val="0"/>
      <w:divBdr>
        <w:top w:val="none" w:sz="0" w:space="0" w:color="auto"/>
        <w:left w:val="none" w:sz="0" w:space="0" w:color="auto"/>
        <w:bottom w:val="none" w:sz="0" w:space="0" w:color="auto"/>
        <w:right w:val="none" w:sz="0" w:space="0" w:color="auto"/>
      </w:divBdr>
    </w:div>
    <w:div w:id="2010522362">
      <w:bodyDiv w:val="1"/>
      <w:marLeft w:val="0"/>
      <w:marRight w:val="0"/>
      <w:marTop w:val="0"/>
      <w:marBottom w:val="0"/>
      <w:divBdr>
        <w:top w:val="none" w:sz="0" w:space="0" w:color="auto"/>
        <w:left w:val="none" w:sz="0" w:space="0" w:color="auto"/>
        <w:bottom w:val="none" w:sz="0" w:space="0" w:color="auto"/>
        <w:right w:val="none" w:sz="0" w:space="0" w:color="auto"/>
      </w:divBdr>
    </w:div>
    <w:div w:id="20617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aemarseascop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F13F-1EFC-4658-A295-D10C39C7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7198</Words>
  <Characters>39575</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Seascope Shipping Ltd</Company>
  <LinksUpToDate>false</LinksUpToDate>
  <CharactersWithSpaces>46680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K.Nutt</dc:creator>
  <cp:lastModifiedBy>Alex Vane</cp:lastModifiedBy>
  <cp:revision>6</cp:revision>
  <cp:lastPrinted>2013-05-13T13:17:00Z</cp:lastPrinted>
  <dcterms:created xsi:type="dcterms:W3CDTF">2013-05-13T12:23:00Z</dcterms:created>
  <dcterms:modified xsi:type="dcterms:W3CDTF">2013-05-13T13:36:00Z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meKMGUID">
    <vt:lpwstr>WRD-2012-4-23-14-30-20-707</vt:lpwstr>
  </property>
</Properties>
</file>