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735"/>
        <w:gridCol w:w="1545"/>
        <w:gridCol w:w="870"/>
        <w:gridCol w:w="1500"/>
        <w:gridCol w:w="1230"/>
        <w:gridCol w:w="2100"/>
        <w:gridCol w:w="1125"/>
      </w:tblGrid>
      <w:tr w:rsidR="00E87DA3" w:rsidTr="000E2CC5">
        <w:trPr>
          <w:trHeight w:val="300"/>
        </w:trPr>
        <w:tc>
          <w:tcPr>
            <w:tcW w:w="9675" w:type="dxa"/>
            <w:gridSpan w:val="7"/>
            <w:tcBorders>
              <w:top w:val="nil"/>
              <w:left w:val="nil"/>
              <w:bottom w:val="nil"/>
              <w:right w:val="nil"/>
              <w:tl2br w:val="nil"/>
              <w:tr2bl w:val="nil"/>
            </w:tcBorders>
            <w:shd w:val="clear" w:color="auto" w:fill="FFFFFF"/>
            <w:tcMar>
              <w:left w:w="115" w:type="dxa"/>
              <w:right w:w="115" w:type="dxa"/>
            </w:tcMar>
          </w:tcPr>
          <w:p w:rsidR="00E87DA3" w:rsidRDefault="00E87DA3" w:rsidP="000E2CC5">
            <w:r>
              <w:rPr>
                <w:b/>
                <w:color w:val="000000"/>
                <w:sz w:val="20"/>
              </w:rPr>
              <w:t>Fleet Employment Profile (As of November 16, 2016)</w:t>
            </w:r>
          </w:p>
        </w:tc>
        <w:tc>
          <w:tcPr>
            <w:tcW w:w="112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rPr>
              <w:t xml:space="preserve"> </w:t>
            </w:r>
          </w:p>
        </w:tc>
      </w:tr>
      <w:tr w:rsidR="00E87DA3" w:rsidTr="000E2CC5">
        <w:trPr>
          <w:trHeight w:val="300"/>
        </w:trPr>
        <w:tc>
          <w:tcPr>
            <w:tcW w:w="9675" w:type="dxa"/>
            <w:gridSpan w:val="7"/>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rPr>
            </w:pPr>
            <w:r>
              <w:rPr>
                <w:color w:val="000000"/>
                <w:sz w:val="18"/>
              </w:rPr>
              <w:t>Diana Containerships Inc.’s fleet is employed as follows:</w:t>
            </w:r>
          </w:p>
        </w:tc>
        <w:tc>
          <w:tcPr>
            <w:tcW w:w="112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18"/>
              </w:rPr>
            </w:pPr>
            <w:r>
              <w:rPr>
                <w:color w:val="000000"/>
              </w:rPr>
              <w:t xml:space="preserve"> </w:t>
            </w:r>
          </w:p>
        </w:tc>
      </w:tr>
      <w:tr w:rsidR="00E87DA3" w:rsidTr="000E2CC5">
        <w:trPr>
          <w:trHeight w:hRule="exact" w:val="150"/>
        </w:trPr>
        <w:tc>
          <w:tcPr>
            <w:tcW w:w="1695" w:type="dxa"/>
            <w:tcBorders>
              <w:top w:val="nil"/>
              <w:left w:val="nil"/>
              <w:bottom w:val="single" w:sz="12" w:space="0" w:color="000000"/>
              <w:right w:val="nil"/>
              <w:tl2br w:val="nil"/>
              <w:tr2bl w:val="nil"/>
            </w:tcBorders>
            <w:shd w:val="clear" w:color="auto" w:fill="FFFFFF"/>
            <w:tcMar>
              <w:left w:w="115" w:type="dxa"/>
              <w:right w:w="115" w:type="dxa"/>
            </w:tcMar>
            <w:vAlign w:val="bottom"/>
          </w:tcPr>
          <w:p w:rsidR="00E87DA3" w:rsidRDefault="00E87DA3" w:rsidP="000E2CC5">
            <w:pPr>
              <w:rPr>
                <w:color w:val="000000"/>
              </w:rPr>
            </w:pPr>
            <w:r>
              <w:rPr>
                <w:color w:val="000000"/>
              </w:rPr>
              <w:t xml:space="preserve"> </w:t>
            </w:r>
          </w:p>
        </w:tc>
        <w:tc>
          <w:tcPr>
            <w:tcW w:w="735" w:type="dxa"/>
            <w:tcBorders>
              <w:top w:val="nil"/>
              <w:left w:val="nil"/>
              <w:bottom w:val="single" w:sz="12" w:space="0" w:color="000000"/>
              <w:right w:val="nil"/>
              <w:tl2br w:val="nil"/>
              <w:tr2bl w:val="nil"/>
            </w:tcBorders>
            <w:shd w:val="clear" w:color="auto" w:fill="FFFFFF"/>
            <w:tcMar>
              <w:left w:w="115" w:type="dxa"/>
              <w:right w:w="115" w:type="dxa"/>
            </w:tcMar>
            <w:vAlign w:val="bottom"/>
          </w:tcPr>
          <w:p w:rsidR="00E87DA3" w:rsidRDefault="00E87DA3" w:rsidP="000E2CC5">
            <w:pPr>
              <w:jc w:val="center"/>
              <w:rPr>
                <w:color w:val="000000"/>
              </w:rPr>
            </w:pPr>
            <w:r>
              <w:rPr>
                <w:color w:val="000000"/>
              </w:rPr>
              <w:t xml:space="preserve"> </w:t>
            </w:r>
          </w:p>
        </w:tc>
        <w:tc>
          <w:tcPr>
            <w:tcW w:w="1545" w:type="dxa"/>
            <w:tcBorders>
              <w:top w:val="nil"/>
              <w:left w:val="nil"/>
              <w:bottom w:val="single" w:sz="12" w:space="0" w:color="000000"/>
              <w:right w:val="nil"/>
              <w:tl2br w:val="nil"/>
              <w:tr2bl w:val="nil"/>
            </w:tcBorders>
            <w:shd w:val="clear" w:color="auto" w:fill="FFFFFF"/>
            <w:tcMar>
              <w:left w:w="115" w:type="dxa"/>
              <w:right w:w="115" w:type="dxa"/>
            </w:tcMar>
            <w:vAlign w:val="bottom"/>
          </w:tcPr>
          <w:p w:rsidR="00E87DA3" w:rsidRDefault="00E87DA3" w:rsidP="000E2CC5">
            <w:pPr>
              <w:jc w:val="center"/>
              <w:rPr>
                <w:color w:val="000000"/>
              </w:rPr>
            </w:pPr>
            <w:r>
              <w:rPr>
                <w:color w:val="000000"/>
              </w:rPr>
              <w:t xml:space="preserve"> </w:t>
            </w:r>
          </w:p>
        </w:tc>
        <w:tc>
          <w:tcPr>
            <w:tcW w:w="870" w:type="dxa"/>
            <w:tcBorders>
              <w:top w:val="nil"/>
              <w:left w:val="nil"/>
              <w:bottom w:val="single" w:sz="12" w:space="0" w:color="000000"/>
              <w:right w:val="nil"/>
              <w:tl2br w:val="nil"/>
              <w:tr2bl w:val="nil"/>
            </w:tcBorders>
            <w:shd w:val="clear" w:color="auto" w:fill="FFFFFF"/>
            <w:tcMar>
              <w:left w:w="115" w:type="dxa"/>
              <w:right w:w="115" w:type="dxa"/>
            </w:tcMar>
            <w:vAlign w:val="bottom"/>
          </w:tcPr>
          <w:p w:rsidR="00E87DA3" w:rsidRDefault="00E87DA3" w:rsidP="000E2CC5">
            <w:pPr>
              <w:jc w:val="center"/>
              <w:rPr>
                <w:color w:val="000000"/>
              </w:rPr>
            </w:pPr>
            <w:r>
              <w:rPr>
                <w:color w:val="000000"/>
              </w:rPr>
              <w:t xml:space="preserve"> </w:t>
            </w:r>
          </w:p>
        </w:tc>
        <w:tc>
          <w:tcPr>
            <w:tcW w:w="1500" w:type="dxa"/>
            <w:tcBorders>
              <w:top w:val="nil"/>
              <w:left w:val="nil"/>
              <w:bottom w:val="single" w:sz="12" w:space="0" w:color="000000"/>
              <w:right w:val="nil"/>
              <w:tl2br w:val="nil"/>
              <w:tr2bl w:val="nil"/>
            </w:tcBorders>
            <w:shd w:val="clear" w:color="auto" w:fill="FFFFFF"/>
            <w:tcMar>
              <w:left w:w="115" w:type="dxa"/>
              <w:right w:w="115" w:type="dxa"/>
            </w:tcMar>
            <w:vAlign w:val="bottom"/>
          </w:tcPr>
          <w:p w:rsidR="00E87DA3" w:rsidRDefault="00E87DA3" w:rsidP="000E2CC5">
            <w:pPr>
              <w:jc w:val="center"/>
              <w:rPr>
                <w:color w:val="000000"/>
              </w:rPr>
            </w:pPr>
            <w:r>
              <w:rPr>
                <w:color w:val="000000"/>
              </w:rPr>
              <w:t xml:space="preserve"> </w:t>
            </w:r>
          </w:p>
        </w:tc>
        <w:tc>
          <w:tcPr>
            <w:tcW w:w="1230" w:type="dxa"/>
            <w:tcBorders>
              <w:top w:val="nil"/>
              <w:left w:val="nil"/>
              <w:bottom w:val="single" w:sz="12" w:space="0" w:color="000000"/>
              <w:right w:val="nil"/>
              <w:tl2br w:val="nil"/>
              <w:tr2bl w:val="nil"/>
            </w:tcBorders>
            <w:shd w:val="clear" w:color="auto" w:fill="FFFFFF"/>
            <w:tcMar>
              <w:left w:w="115" w:type="dxa"/>
              <w:right w:w="115" w:type="dxa"/>
            </w:tcMar>
            <w:vAlign w:val="bottom"/>
          </w:tcPr>
          <w:p w:rsidR="00E87DA3" w:rsidRDefault="00E87DA3" w:rsidP="000E2CC5">
            <w:pPr>
              <w:rPr>
                <w:color w:val="000000"/>
              </w:rPr>
            </w:pPr>
            <w:r>
              <w:rPr>
                <w:color w:val="000000"/>
              </w:rPr>
              <w:t xml:space="preserve"> </w:t>
            </w:r>
          </w:p>
        </w:tc>
        <w:tc>
          <w:tcPr>
            <w:tcW w:w="2100" w:type="dxa"/>
            <w:tcBorders>
              <w:top w:val="nil"/>
              <w:left w:val="nil"/>
              <w:bottom w:val="single" w:sz="12" w:space="0" w:color="000000"/>
              <w:right w:val="nil"/>
              <w:tl2br w:val="nil"/>
              <w:tr2bl w:val="nil"/>
            </w:tcBorders>
            <w:shd w:val="clear" w:color="auto" w:fill="FFFFFF"/>
            <w:tcMar>
              <w:left w:w="115" w:type="dxa"/>
              <w:right w:w="115" w:type="dxa"/>
            </w:tcMar>
            <w:vAlign w:val="bottom"/>
          </w:tcPr>
          <w:p w:rsidR="00E87DA3" w:rsidRDefault="00E87DA3" w:rsidP="000E2CC5">
            <w:pPr>
              <w:rPr>
                <w:color w:val="000000"/>
              </w:rPr>
            </w:pPr>
            <w:r>
              <w:rPr>
                <w:color w:val="000000"/>
              </w:rPr>
              <w:t xml:space="preserve"> </w:t>
            </w:r>
          </w:p>
        </w:tc>
        <w:tc>
          <w:tcPr>
            <w:tcW w:w="1125" w:type="dxa"/>
            <w:tcBorders>
              <w:top w:val="nil"/>
              <w:left w:val="nil"/>
              <w:bottom w:val="single" w:sz="12" w:space="0" w:color="000000"/>
              <w:right w:val="nil"/>
              <w:tl2br w:val="nil"/>
              <w:tr2bl w:val="nil"/>
            </w:tcBorders>
            <w:shd w:val="clear" w:color="auto" w:fill="FFFFFF"/>
            <w:tcMar>
              <w:left w:w="115" w:type="dxa"/>
              <w:right w:w="115" w:type="dxa"/>
            </w:tcMar>
            <w:vAlign w:val="bottom"/>
          </w:tcPr>
          <w:p w:rsidR="00E87DA3" w:rsidRDefault="00E87DA3" w:rsidP="000E2CC5">
            <w:pPr>
              <w:rPr>
                <w:color w:val="000000"/>
              </w:rPr>
            </w:pPr>
            <w:r>
              <w:rPr>
                <w:color w:val="000000"/>
              </w:rPr>
              <w:t xml:space="preserve"> </w:t>
            </w:r>
          </w:p>
        </w:tc>
      </w:tr>
      <w:tr w:rsidR="00E87DA3" w:rsidTr="000E2CC5">
        <w:trPr>
          <w:trHeight w:val="210"/>
        </w:trPr>
        <w:tc>
          <w:tcPr>
            <w:tcW w:w="1695" w:type="dxa"/>
            <w:tcBorders>
              <w:top w:val="single" w:sz="12"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rPr>
            </w:pPr>
            <w:r>
              <w:rPr>
                <w:b/>
                <w:color w:val="000000"/>
                <w:sz w:val="16"/>
              </w:rPr>
              <w:t>Vessel</w:t>
            </w:r>
          </w:p>
        </w:tc>
        <w:tc>
          <w:tcPr>
            <w:tcW w:w="735" w:type="dxa"/>
            <w:vMerge w:val="restart"/>
            <w:tcBorders>
              <w:top w:val="single" w:sz="12"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16"/>
              </w:rPr>
            </w:pPr>
            <w:r>
              <w:rPr>
                <w:b/>
                <w:color w:val="000000"/>
                <w:sz w:val="16"/>
              </w:rPr>
              <w:t>Sister Ships*</w:t>
            </w:r>
          </w:p>
        </w:tc>
        <w:tc>
          <w:tcPr>
            <w:tcW w:w="1545" w:type="dxa"/>
            <w:vMerge w:val="restart"/>
            <w:tcBorders>
              <w:top w:val="single" w:sz="12"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16"/>
              </w:rPr>
            </w:pPr>
            <w:r>
              <w:rPr>
                <w:b/>
                <w:color w:val="000000"/>
                <w:sz w:val="16"/>
              </w:rPr>
              <w:t>Gross Rate (USD Per Day)</w:t>
            </w:r>
          </w:p>
        </w:tc>
        <w:tc>
          <w:tcPr>
            <w:tcW w:w="870" w:type="dxa"/>
            <w:vMerge w:val="restart"/>
            <w:tcBorders>
              <w:top w:val="single" w:sz="12"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16"/>
              </w:rPr>
            </w:pPr>
            <w:r>
              <w:rPr>
                <w:b/>
                <w:color w:val="000000"/>
                <w:sz w:val="16"/>
              </w:rPr>
              <w:t>Com**</w:t>
            </w:r>
          </w:p>
        </w:tc>
        <w:tc>
          <w:tcPr>
            <w:tcW w:w="1500" w:type="dxa"/>
            <w:vMerge w:val="restart"/>
            <w:tcBorders>
              <w:top w:val="single" w:sz="12"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16"/>
              </w:rPr>
            </w:pPr>
            <w:r>
              <w:rPr>
                <w:b/>
                <w:color w:val="000000"/>
                <w:sz w:val="16"/>
              </w:rPr>
              <w:t>Charterers</w:t>
            </w:r>
          </w:p>
        </w:tc>
        <w:tc>
          <w:tcPr>
            <w:tcW w:w="1230" w:type="dxa"/>
            <w:vMerge w:val="restart"/>
            <w:tcBorders>
              <w:top w:val="single" w:sz="12"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16"/>
              </w:rPr>
            </w:pPr>
            <w:r>
              <w:rPr>
                <w:b/>
                <w:color w:val="000000"/>
                <w:sz w:val="16"/>
              </w:rPr>
              <w:t>Delivery Date to       Charterers***</w:t>
            </w:r>
          </w:p>
        </w:tc>
        <w:tc>
          <w:tcPr>
            <w:tcW w:w="2100" w:type="dxa"/>
            <w:vMerge w:val="restart"/>
            <w:tcBorders>
              <w:top w:val="single" w:sz="12"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16"/>
              </w:rPr>
            </w:pPr>
            <w:r>
              <w:rPr>
                <w:b/>
                <w:color w:val="000000"/>
                <w:sz w:val="16"/>
              </w:rPr>
              <w:t>Redelivery Date to Owners****</w:t>
            </w:r>
          </w:p>
        </w:tc>
        <w:tc>
          <w:tcPr>
            <w:tcW w:w="1125" w:type="dxa"/>
            <w:vMerge w:val="restart"/>
            <w:tcBorders>
              <w:top w:val="single" w:sz="12"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16"/>
              </w:rPr>
            </w:pPr>
            <w:r>
              <w:rPr>
                <w:b/>
                <w:color w:val="000000"/>
                <w:sz w:val="16"/>
              </w:rPr>
              <w:t>Notes</w:t>
            </w:r>
          </w:p>
        </w:tc>
      </w:tr>
      <w:tr w:rsidR="00E87DA3" w:rsidTr="000E2CC5">
        <w:trPr>
          <w:trHeight w:val="270"/>
        </w:trPr>
        <w:tc>
          <w:tcPr>
            <w:tcW w:w="1695" w:type="dxa"/>
            <w:tcBorders>
              <w:top w:val="nil"/>
              <w:left w:val="nil"/>
              <w:bottom w:val="single" w:sz="12" w:space="0" w:color="000000"/>
              <w:right w:val="nil"/>
              <w:tl2br w:val="nil"/>
              <w:tr2bl w:val="nil"/>
            </w:tcBorders>
            <w:shd w:val="clear" w:color="auto" w:fill="FFFFFF"/>
            <w:tcMar>
              <w:left w:w="115" w:type="dxa"/>
              <w:right w:w="115" w:type="dxa"/>
            </w:tcMar>
            <w:vAlign w:val="bottom"/>
          </w:tcPr>
          <w:p w:rsidR="00E87DA3" w:rsidRDefault="00E87DA3" w:rsidP="000E2CC5">
            <w:pPr>
              <w:rPr>
                <w:b/>
                <w:color w:val="000000"/>
                <w:sz w:val="16"/>
              </w:rPr>
            </w:pPr>
            <w:r>
              <w:rPr>
                <w:b/>
                <w:color w:val="000000"/>
                <w:sz w:val="16"/>
              </w:rPr>
              <w:t>BUILT    TEU</w:t>
            </w:r>
          </w:p>
        </w:tc>
        <w:tc>
          <w:tcPr>
            <w:tcW w:w="735" w:type="dxa"/>
            <w:vMerge/>
            <w:tcBorders>
              <w:top w:val="nil"/>
              <w:left w:val="nil"/>
              <w:bottom w:val="single" w:sz="12" w:space="0" w:color="000000"/>
              <w:right w:val="nil"/>
              <w:tl2br w:val="nil"/>
              <w:tr2bl w:val="nil"/>
            </w:tcBorders>
            <w:shd w:val="clear" w:color="auto" w:fill="FFFFFF"/>
            <w:tcMar>
              <w:left w:w="115" w:type="dxa"/>
              <w:right w:w="115" w:type="dxa"/>
            </w:tcMar>
            <w:vAlign w:val="bottom"/>
          </w:tcPr>
          <w:p w:rsidR="00E87DA3" w:rsidRDefault="00E87DA3" w:rsidP="000E2CC5">
            <w:pPr>
              <w:rPr>
                <w:b/>
                <w:color w:val="000000"/>
                <w:sz w:val="16"/>
              </w:rPr>
            </w:pPr>
          </w:p>
        </w:tc>
        <w:tc>
          <w:tcPr>
            <w:tcW w:w="1545" w:type="dxa"/>
            <w:vMerge/>
            <w:tcBorders>
              <w:top w:val="nil"/>
              <w:left w:val="nil"/>
              <w:bottom w:val="single" w:sz="12" w:space="0" w:color="000000"/>
              <w:right w:val="nil"/>
              <w:tl2br w:val="nil"/>
              <w:tr2bl w:val="nil"/>
            </w:tcBorders>
            <w:shd w:val="clear" w:color="auto" w:fill="FFFFFF"/>
            <w:tcMar>
              <w:left w:w="115" w:type="dxa"/>
              <w:right w:w="115" w:type="dxa"/>
            </w:tcMar>
            <w:vAlign w:val="bottom"/>
          </w:tcPr>
          <w:p w:rsidR="00E87DA3" w:rsidRDefault="00E87DA3" w:rsidP="000E2CC5">
            <w:pPr>
              <w:rPr>
                <w:b/>
                <w:color w:val="000000"/>
                <w:sz w:val="16"/>
              </w:rPr>
            </w:pPr>
          </w:p>
        </w:tc>
        <w:tc>
          <w:tcPr>
            <w:tcW w:w="870" w:type="dxa"/>
            <w:vMerge/>
            <w:tcBorders>
              <w:top w:val="nil"/>
              <w:left w:val="nil"/>
              <w:bottom w:val="single" w:sz="12" w:space="0" w:color="000000"/>
              <w:right w:val="nil"/>
              <w:tl2br w:val="nil"/>
              <w:tr2bl w:val="nil"/>
            </w:tcBorders>
            <w:shd w:val="clear" w:color="auto" w:fill="FFFFFF"/>
            <w:tcMar>
              <w:left w:w="115" w:type="dxa"/>
              <w:right w:w="115" w:type="dxa"/>
            </w:tcMar>
            <w:vAlign w:val="bottom"/>
          </w:tcPr>
          <w:p w:rsidR="00E87DA3" w:rsidRDefault="00E87DA3" w:rsidP="000E2CC5">
            <w:pPr>
              <w:rPr>
                <w:b/>
                <w:color w:val="000000"/>
                <w:sz w:val="16"/>
              </w:rPr>
            </w:pPr>
          </w:p>
        </w:tc>
        <w:tc>
          <w:tcPr>
            <w:tcW w:w="1500" w:type="dxa"/>
            <w:vMerge/>
            <w:tcBorders>
              <w:top w:val="nil"/>
              <w:left w:val="nil"/>
              <w:bottom w:val="single" w:sz="12" w:space="0" w:color="000000"/>
              <w:right w:val="nil"/>
              <w:tl2br w:val="nil"/>
              <w:tr2bl w:val="nil"/>
            </w:tcBorders>
            <w:shd w:val="clear" w:color="auto" w:fill="FFFFFF"/>
            <w:tcMar>
              <w:left w:w="115" w:type="dxa"/>
              <w:right w:w="115" w:type="dxa"/>
            </w:tcMar>
            <w:vAlign w:val="bottom"/>
          </w:tcPr>
          <w:p w:rsidR="00E87DA3" w:rsidRDefault="00E87DA3" w:rsidP="000E2CC5">
            <w:pPr>
              <w:rPr>
                <w:b/>
                <w:color w:val="000000"/>
                <w:sz w:val="16"/>
              </w:rPr>
            </w:pPr>
          </w:p>
        </w:tc>
        <w:tc>
          <w:tcPr>
            <w:tcW w:w="1230" w:type="dxa"/>
            <w:vMerge/>
            <w:tcBorders>
              <w:top w:val="nil"/>
              <w:left w:val="nil"/>
              <w:bottom w:val="single" w:sz="12" w:space="0" w:color="000000"/>
              <w:right w:val="nil"/>
              <w:tl2br w:val="nil"/>
              <w:tr2bl w:val="nil"/>
            </w:tcBorders>
            <w:shd w:val="clear" w:color="auto" w:fill="FFFFFF"/>
            <w:tcMar>
              <w:left w:w="115" w:type="dxa"/>
              <w:right w:w="115" w:type="dxa"/>
            </w:tcMar>
            <w:vAlign w:val="bottom"/>
          </w:tcPr>
          <w:p w:rsidR="00E87DA3" w:rsidRDefault="00E87DA3" w:rsidP="000E2CC5">
            <w:pPr>
              <w:rPr>
                <w:b/>
                <w:color w:val="000000"/>
                <w:sz w:val="16"/>
              </w:rPr>
            </w:pPr>
          </w:p>
        </w:tc>
        <w:tc>
          <w:tcPr>
            <w:tcW w:w="2100" w:type="dxa"/>
            <w:vMerge/>
            <w:tcBorders>
              <w:top w:val="nil"/>
              <w:left w:val="nil"/>
              <w:bottom w:val="single" w:sz="12" w:space="0" w:color="000000"/>
              <w:right w:val="nil"/>
              <w:tl2br w:val="nil"/>
              <w:tr2bl w:val="nil"/>
            </w:tcBorders>
            <w:shd w:val="clear" w:color="auto" w:fill="FFFFFF"/>
            <w:tcMar>
              <w:left w:w="115" w:type="dxa"/>
              <w:right w:w="115" w:type="dxa"/>
            </w:tcMar>
            <w:vAlign w:val="bottom"/>
          </w:tcPr>
          <w:p w:rsidR="00E87DA3" w:rsidRDefault="00E87DA3" w:rsidP="000E2CC5">
            <w:pPr>
              <w:rPr>
                <w:b/>
                <w:color w:val="000000"/>
                <w:sz w:val="16"/>
              </w:rPr>
            </w:pPr>
          </w:p>
        </w:tc>
        <w:tc>
          <w:tcPr>
            <w:tcW w:w="1125" w:type="dxa"/>
            <w:vMerge/>
            <w:tcBorders>
              <w:top w:val="nil"/>
              <w:left w:val="nil"/>
              <w:bottom w:val="single" w:sz="12" w:space="0" w:color="000000"/>
              <w:right w:val="nil"/>
              <w:tl2br w:val="nil"/>
              <w:tr2bl w:val="nil"/>
            </w:tcBorders>
            <w:shd w:val="clear" w:color="auto" w:fill="FFFFFF"/>
            <w:tcMar>
              <w:left w:w="115" w:type="dxa"/>
              <w:right w:w="115" w:type="dxa"/>
            </w:tcMar>
            <w:vAlign w:val="bottom"/>
          </w:tcPr>
          <w:p w:rsidR="00E87DA3" w:rsidRDefault="00E87DA3" w:rsidP="000E2CC5">
            <w:pPr>
              <w:rPr>
                <w:b/>
                <w:color w:val="000000"/>
                <w:sz w:val="16"/>
              </w:rPr>
            </w:pPr>
          </w:p>
        </w:tc>
      </w:tr>
      <w:tr w:rsidR="00E87DA3" w:rsidTr="000E2CC5">
        <w:trPr>
          <w:trHeight w:val="300"/>
        </w:trPr>
        <w:tc>
          <w:tcPr>
            <w:tcW w:w="10800" w:type="dxa"/>
            <w:gridSpan w:val="8"/>
            <w:tcBorders>
              <w:top w:val="single" w:sz="12" w:space="0" w:color="000000"/>
              <w:left w:val="nil"/>
              <w:bottom w:val="single" w:sz="12" w:space="0" w:color="000000"/>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16"/>
              </w:rPr>
            </w:pPr>
            <w:r>
              <w:rPr>
                <w:b/>
                <w:color w:val="000000"/>
                <w:sz w:val="24"/>
              </w:rPr>
              <w:t xml:space="preserve">6 Panamax Container Vessels </w:t>
            </w:r>
          </w:p>
        </w:tc>
      </w:tr>
      <w:tr w:rsidR="00E87DA3" w:rsidTr="000E2CC5">
        <w:trPr>
          <w:trHeight w:hRule="exact" w:val="120"/>
        </w:trPr>
        <w:tc>
          <w:tcPr>
            <w:tcW w:w="1695"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4"/>
              </w:rPr>
            </w:pPr>
            <w:r>
              <w:rPr>
                <w:color w:val="000000"/>
                <w:sz w:val="16"/>
              </w:rPr>
              <w:t xml:space="preserve"> </w:t>
            </w:r>
          </w:p>
        </w:tc>
        <w:tc>
          <w:tcPr>
            <w:tcW w:w="735"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16"/>
              </w:rPr>
            </w:pPr>
            <w:r>
              <w:rPr>
                <w:color w:val="000000"/>
                <w:sz w:val="16"/>
              </w:rPr>
              <w:t xml:space="preserve"> </w:t>
            </w:r>
          </w:p>
        </w:tc>
        <w:tc>
          <w:tcPr>
            <w:tcW w:w="1545"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16"/>
              </w:rPr>
            </w:pPr>
            <w:r>
              <w:rPr>
                <w:color w:val="000000"/>
                <w:sz w:val="16"/>
              </w:rPr>
              <w:t xml:space="preserve"> </w:t>
            </w:r>
          </w:p>
        </w:tc>
        <w:tc>
          <w:tcPr>
            <w:tcW w:w="87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16"/>
              </w:rPr>
            </w:pPr>
            <w:r>
              <w:rPr>
                <w:color w:val="000000"/>
                <w:sz w:val="16"/>
              </w:rPr>
              <w:t xml:space="preserve"> </w:t>
            </w:r>
          </w:p>
        </w:tc>
        <w:tc>
          <w:tcPr>
            <w:tcW w:w="1500" w:type="dxa"/>
            <w:tcBorders>
              <w:top w:val="nil"/>
              <w:left w:val="nil"/>
              <w:bottom w:val="single" w:sz="6" w:space="0" w:color="000000"/>
              <w:right w:val="nil"/>
              <w:tl2br w:val="nil"/>
              <w:tr2bl w:val="nil"/>
            </w:tcBorders>
            <w:shd w:val="clear" w:color="auto" w:fill="FFFFFF"/>
            <w:tcMar>
              <w:left w:w="115" w:type="dxa"/>
              <w:right w:w="115" w:type="dxa"/>
            </w:tcMar>
            <w:vAlign w:val="center"/>
          </w:tcPr>
          <w:p w:rsidR="00E87DA3" w:rsidRDefault="00E87DA3" w:rsidP="000E2CC5">
            <w:pPr>
              <w:jc w:val="center"/>
              <w:rPr>
                <w:color w:val="000000"/>
                <w:sz w:val="16"/>
              </w:rPr>
            </w:pPr>
            <w:r>
              <w:rPr>
                <w:color w:val="000000"/>
                <w:sz w:val="16"/>
              </w:rPr>
              <w:t xml:space="preserve"> </w:t>
            </w:r>
          </w:p>
        </w:tc>
        <w:tc>
          <w:tcPr>
            <w:tcW w:w="123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16"/>
              </w:rPr>
            </w:pPr>
            <w:r>
              <w:rPr>
                <w:color w:val="000000"/>
                <w:sz w:val="16"/>
              </w:rPr>
              <w:t xml:space="preserve"> </w:t>
            </w:r>
          </w:p>
        </w:tc>
        <w:tc>
          <w:tcPr>
            <w:tcW w:w="210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16"/>
              </w:rPr>
            </w:pPr>
            <w:r>
              <w:rPr>
                <w:color w:val="000000"/>
                <w:sz w:val="16"/>
              </w:rPr>
              <w:t xml:space="preserve"> </w:t>
            </w:r>
          </w:p>
        </w:tc>
        <w:tc>
          <w:tcPr>
            <w:tcW w:w="1125"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SAGITTA</w:t>
            </w:r>
          </w:p>
        </w:tc>
        <w:tc>
          <w:tcPr>
            <w:tcW w:w="735"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16"/>
              </w:rPr>
            </w:pPr>
            <w:r>
              <w:rPr>
                <w:color w:val="000000"/>
                <w:sz w:val="16"/>
              </w:rPr>
              <w:t xml:space="preserve"> </w:t>
            </w:r>
          </w:p>
        </w:tc>
        <w:tc>
          <w:tcPr>
            <w:tcW w:w="1545"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16"/>
              </w:rPr>
            </w:pPr>
            <w:r>
              <w:rPr>
                <w:color w:val="000000"/>
                <w:sz w:val="16"/>
              </w:rPr>
              <w:t xml:space="preserve"> </w:t>
            </w:r>
          </w:p>
        </w:tc>
        <w:tc>
          <w:tcPr>
            <w:tcW w:w="870"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16"/>
              </w:rPr>
            </w:pPr>
            <w:r>
              <w:rPr>
                <w:color w:val="000000"/>
                <w:sz w:val="16"/>
              </w:rPr>
              <w:t xml:space="preserve"> </w:t>
            </w:r>
          </w:p>
        </w:tc>
        <w:tc>
          <w:tcPr>
            <w:tcW w:w="1500"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16"/>
              </w:rPr>
            </w:pPr>
            <w:r>
              <w:rPr>
                <w:color w:val="000000"/>
                <w:sz w:val="16"/>
              </w:rPr>
              <w:t xml:space="preserve"> </w:t>
            </w:r>
          </w:p>
        </w:tc>
        <w:tc>
          <w:tcPr>
            <w:tcW w:w="1230"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16"/>
              </w:rPr>
            </w:pPr>
            <w:r>
              <w:rPr>
                <w:color w:val="000000"/>
                <w:sz w:val="16"/>
              </w:rPr>
              <w:t xml:space="preserve"> </w:t>
            </w:r>
          </w:p>
        </w:tc>
        <w:tc>
          <w:tcPr>
            <w:tcW w:w="2100"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16"/>
              </w:rPr>
            </w:pPr>
            <w:r>
              <w:rPr>
                <w:color w:val="000000"/>
                <w:sz w:val="16"/>
              </w:rPr>
              <w:t xml:space="preserve"> </w:t>
            </w:r>
          </w:p>
        </w:tc>
        <w:tc>
          <w:tcPr>
            <w:tcW w:w="1125"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16"/>
              </w:rPr>
            </w:pPr>
            <w:r>
              <w:rPr>
                <w:color w:val="000000"/>
                <w:sz w:val="16"/>
              </w:rPr>
              <w:t xml:space="preserve"> </w:t>
            </w:r>
          </w:p>
        </w:tc>
      </w:tr>
      <w:tr w:rsidR="00E87DA3" w:rsidTr="000E2CC5">
        <w:trPr>
          <w:trHeight w:val="210"/>
        </w:trPr>
        <w:tc>
          <w:tcPr>
            <w:tcW w:w="169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 xml:space="preserve"> </w:t>
            </w:r>
          </w:p>
        </w:tc>
        <w:tc>
          <w:tcPr>
            <w:tcW w:w="73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A</w:t>
            </w:r>
          </w:p>
        </w:tc>
        <w:tc>
          <w:tcPr>
            <w:tcW w:w="154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$5,850</w:t>
            </w:r>
          </w:p>
        </w:tc>
        <w:tc>
          <w:tcPr>
            <w:tcW w:w="87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3.50%</w:t>
            </w:r>
          </w:p>
        </w:tc>
        <w:tc>
          <w:tcPr>
            <w:tcW w:w="15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CMA CGM</w:t>
            </w:r>
          </w:p>
        </w:tc>
        <w:tc>
          <w:tcPr>
            <w:tcW w:w="123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27-Jan-16</w:t>
            </w:r>
          </w:p>
        </w:tc>
        <w:tc>
          <w:tcPr>
            <w:tcW w:w="21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24-Nov-16 - 27-Jan-17</w:t>
            </w:r>
          </w:p>
        </w:tc>
        <w:tc>
          <w:tcPr>
            <w:tcW w:w="112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1 </w:t>
            </w:r>
          </w:p>
        </w:tc>
      </w:tr>
      <w:tr w:rsidR="00E87DA3" w:rsidTr="000E2CC5">
        <w:trPr>
          <w:trHeight w:val="210"/>
        </w:trPr>
        <w:tc>
          <w:tcPr>
            <w:tcW w:w="169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2010    3,426</w:t>
            </w:r>
          </w:p>
        </w:tc>
        <w:tc>
          <w:tcPr>
            <w:tcW w:w="73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CENTAURUS</w:t>
            </w:r>
          </w:p>
        </w:tc>
        <w:tc>
          <w:tcPr>
            <w:tcW w:w="73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 xml:space="preserve"> </w:t>
            </w:r>
          </w:p>
        </w:tc>
        <w:tc>
          <w:tcPr>
            <w:tcW w:w="73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A</w:t>
            </w:r>
          </w:p>
        </w:tc>
        <w:tc>
          <w:tcPr>
            <w:tcW w:w="154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$10,875</w:t>
            </w:r>
          </w:p>
        </w:tc>
        <w:tc>
          <w:tcPr>
            <w:tcW w:w="87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5.00%</w:t>
            </w:r>
          </w:p>
        </w:tc>
        <w:tc>
          <w:tcPr>
            <w:tcW w:w="1500" w:type="dxa"/>
            <w:vMerge w:val="restart"/>
            <w:tcBorders>
              <w:top w:val="nil"/>
              <w:left w:val="nil"/>
              <w:bottom w:val="nil"/>
              <w:right w:val="nil"/>
              <w:tl2br w:val="nil"/>
              <w:tr2bl w:val="nil"/>
            </w:tcBorders>
            <w:shd w:val="clear" w:color="auto" w:fill="FFFFFF"/>
            <w:tcMar>
              <w:left w:w="115" w:type="dxa"/>
              <w:right w:w="115" w:type="dxa"/>
            </w:tcMar>
            <w:vAlign w:val="center"/>
          </w:tcPr>
          <w:p w:rsidR="00E87DA3" w:rsidRDefault="00E87DA3" w:rsidP="000E2CC5">
            <w:pPr>
              <w:jc w:val="center"/>
              <w:rPr>
                <w:color w:val="000000"/>
                <w:sz w:val="16"/>
              </w:rPr>
            </w:pPr>
            <w:r>
              <w:rPr>
                <w:color w:val="000000"/>
                <w:sz w:val="16"/>
              </w:rPr>
              <w:t>Maersk Line A/S</w:t>
            </w:r>
          </w:p>
        </w:tc>
        <w:tc>
          <w:tcPr>
            <w:tcW w:w="123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2-Oct-15</w:t>
            </w:r>
          </w:p>
        </w:tc>
        <w:tc>
          <w:tcPr>
            <w:tcW w:w="21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16-Sep-16</w:t>
            </w:r>
          </w:p>
        </w:tc>
        <w:tc>
          <w:tcPr>
            <w:tcW w:w="112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2 </w:t>
            </w:r>
          </w:p>
        </w:tc>
      </w:tr>
      <w:tr w:rsidR="00E87DA3" w:rsidTr="000E2CC5">
        <w:trPr>
          <w:trHeight w:val="210"/>
        </w:trPr>
        <w:tc>
          <w:tcPr>
            <w:tcW w:w="169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2010   3,426</w:t>
            </w:r>
          </w:p>
        </w:tc>
        <w:tc>
          <w:tcPr>
            <w:tcW w:w="73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$5,150</w:t>
            </w:r>
          </w:p>
        </w:tc>
        <w:tc>
          <w:tcPr>
            <w:tcW w:w="87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5.00%</w:t>
            </w:r>
          </w:p>
        </w:tc>
        <w:tc>
          <w:tcPr>
            <w:tcW w:w="1500" w:type="dxa"/>
            <w:vMerge/>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p>
        </w:tc>
        <w:tc>
          <w:tcPr>
            <w:tcW w:w="123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16-Sep-16</w:t>
            </w:r>
          </w:p>
        </w:tc>
        <w:tc>
          <w:tcPr>
            <w:tcW w:w="21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19-Sep-16</w:t>
            </w:r>
          </w:p>
        </w:tc>
        <w:tc>
          <w:tcPr>
            <w:tcW w:w="112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3,4,5</w:t>
            </w:r>
          </w:p>
        </w:tc>
      </w:tr>
      <w:tr w:rsidR="00E87DA3" w:rsidTr="000E2CC5">
        <w:trPr>
          <w:trHeight w:val="210"/>
        </w:trPr>
        <w:tc>
          <w:tcPr>
            <w:tcW w:w="169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ANGELES</w:t>
            </w:r>
          </w:p>
        </w:tc>
        <w:tc>
          <w:tcPr>
            <w:tcW w:w="73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(ex YM Los Angeles)</w:t>
            </w:r>
          </w:p>
        </w:tc>
        <w:tc>
          <w:tcPr>
            <w:tcW w:w="73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B</w:t>
            </w:r>
          </w:p>
        </w:tc>
        <w:tc>
          <w:tcPr>
            <w:tcW w:w="154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$21,000</w:t>
            </w:r>
          </w:p>
        </w:tc>
        <w:tc>
          <w:tcPr>
            <w:tcW w:w="87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US$350 per day</w:t>
            </w:r>
          </w:p>
        </w:tc>
        <w:tc>
          <w:tcPr>
            <w:tcW w:w="15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Yang Ming (UK) Ltd.</w:t>
            </w:r>
          </w:p>
        </w:tc>
        <w:tc>
          <w:tcPr>
            <w:tcW w:w="123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9-Apr-15</w:t>
            </w:r>
          </w:p>
        </w:tc>
        <w:tc>
          <w:tcPr>
            <w:tcW w:w="21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19-Oct-16</w:t>
            </w:r>
          </w:p>
        </w:tc>
        <w:tc>
          <w:tcPr>
            <w:tcW w:w="112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6,7</w:t>
            </w:r>
          </w:p>
        </w:tc>
      </w:tr>
      <w:tr w:rsidR="00E87DA3" w:rsidTr="000E2CC5">
        <w:trPr>
          <w:trHeight w:val="210"/>
        </w:trPr>
        <w:tc>
          <w:tcPr>
            <w:tcW w:w="169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2006   4,923</w:t>
            </w:r>
          </w:p>
        </w:tc>
        <w:tc>
          <w:tcPr>
            <w:tcW w:w="73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NEW JERSEY</w:t>
            </w:r>
          </w:p>
        </w:tc>
        <w:tc>
          <w:tcPr>
            <w:tcW w:w="73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(ex YM New Jersey)</w:t>
            </w:r>
          </w:p>
        </w:tc>
        <w:tc>
          <w:tcPr>
            <w:tcW w:w="73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B</w:t>
            </w:r>
          </w:p>
        </w:tc>
        <w:tc>
          <w:tcPr>
            <w:tcW w:w="154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$21,000</w:t>
            </w:r>
          </w:p>
        </w:tc>
        <w:tc>
          <w:tcPr>
            <w:tcW w:w="87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US$350 per day</w:t>
            </w:r>
          </w:p>
        </w:tc>
        <w:tc>
          <w:tcPr>
            <w:tcW w:w="15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Yang Ming (UK) Ltd.</w:t>
            </w:r>
          </w:p>
        </w:tc>
        <w:tc>
          <w:tcPr>
            <w:tcW w:w="123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22-Apr-15</w:t>
            </w:r>
          </w:p>
        </w:tc>
        <w:tc>
          <w:tcPr>
            <w:tcW w:w="21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26-Sep-16</w:t>
            </w:r>
          </w:p>
        </w:tc>
        <w:tc>
          <w:tcPr>
            <w:tcW w:w="112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6,8</w:t>
            </w:r>
          </w:p>
        </w:tc>
      </w:tr>
      <w:tr w:rsidR="00E87DA3" w:rsidTr="000E2CC5">
        <w:trPr>
          <w:trHeight w:val="210"/>
        </w:trPr>
        <w:tc>
          <w:tcPr>
            <w:tcW w:w="169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2006   4,923</w:t>
            </w:r>
          </w:p>
        </w:tc>
        <w:tc>
          <w:tcPr>
            <w:tcW w:w="73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PAMINA</w:t>
            </w:r>
          </w:p>
        </w:tc>
        <w:tc>
          <w:tcPr>
            <w:tcW w:w="73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w:t>
            </w:r>
            <w:proofErr w:type="spellStart"/>
            <w:r>
              <w:rPr>
                <w:color w:val="000000"/>
                <w:sz w:val="16"/>
              </w:rPr>
              <w:t>ex Santa</w:t>
            </w:r>
            <w:proofErr w:type="spellEnd"/>
            <w:r>
              <w:rPr>
                <w:color w:val="000000"/>
                <w:sz w:val="16"/>
              </w:rPr>
              <w:t xml:space="preserve"> </w:t>
            </w:r>
            <w:proofErr w:type="spellStart"/>
            <w:r>
              <w:rPr>
                <w:color w:val="000000"/>
                <w:sz w:val="16"/>
              </w:rPr>
              <w:t>Pamina</w:t>
            </w:r>
            <w:proofErr w:type="spellEnd"/>
            <w:r>
              <w:rPr>
                <w:color w:val="000000"/>
                <w:sz w:val="16"/>
              </w:rPr>
              <w:t>)</w:t>
            </w:r>
          </w:p>
        </w:tc>
        <w:tc>
          <w:tcPr>
            <w:tcW w:w="73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$15,325</w:t>
            </w:r>
          </w:p>
        </w:tc>
        <w:tc>
          <w:tcPr>
            <w:tcW w:w="87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4.00%</w:t>
            </w:r>
          </w:p>
        </w:tc>
        <w:tc>
          <w:tcPr>
            <w:tcW w:w="15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proofErr w:type="spellStart"/>
            <w:r>
              <w:rPr>
                <w:color w:val="000000"/>
                <w:sz w:val="16"/>
              </w:rPr>
              <w:t>Zim</w:t>
            </w:r>
            <w:proofErr w:type="spellEnd"/>
            <w:r>
              <w:rPr>
                <w:color w:val="000000"/>
                <w:sz w:val="16"/>
              </w:rPr>
              <w:t xml:space="preserve"> Integrated Shipping Services Ltd</w:t>
            </w:r>
          </w:p>
        </w:tc>
        <w:tc>
          <w:tcPr>
            <w:tcW w:w="123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21-May-15</w:t>
            </w:r>
          </w:p>
        </w:tc>
        <w:tc>
          <w:tcPr>
            <w:tcW w:w="21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22-Mar-16</w:t>
            </w:r>
          </w:p>
        </w:tc>
        <w:tc>
          <w:tcPr>
            <w:tcW w:w="112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9 </w:t>
            </w:r>
          </w:p>
        </w:tc>
      </w:tr>
      <w:tr w:rsidR="00E87DA3" w:rsidTr="000E2CC5">
        <w:trPr>
          <w:trHeight w:val="210"/>
        </w:trPr>
        <w:tc>
          <w:tcPr>
            <w:tcW w:w="169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2005   5,042</w:t>
            </w:r>
          </w:p>
        </w:tc>
        <w:tc>
          <w:tcPr>
            <w:tcW w:w="73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 xml:space="preserve">DOMINGO </w:t>
            </w:r>
          </w:p>
        </w:tc>
        <w:tc>
          <w:tcPr>
            <w:tcW w:w="73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w:t>
            </w:r>
            <w:proofErr w:type="spellStart"/>
            <w:r>
              <w:rPr>
                <w:color w:val="000000"/>
                <w:sz w:val="16"/>
              </w:rPr>
              <w:t>ex Cap</w:t>
            </w:r>
            <w:proofErr w:type="spellEnd"/>
            <w:r>
              <w:rPr>
                <w:color w:val="000000"/>
                <w:sz w:val="16"/>
              </w:rPr>
              <w:t xml:space="preserve"> Domingo)</w:t>
            </w:r>
          </w:p>
        </w:tc>
        <w:tc>
          <w:tcPr>
            <w:tcW w:w="73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C</w:t>
            </w:r>
          </w:p>
        </w:tc>
        <w:tc>
          <w:tcPr>
            <w:tcW w:w="154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$6,150</w:t>
            </w:r>
          </w:p>
        </w:tc>
        <w:tc>
          <w:tcPr>
            <w:tcW w:w="87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3.50%</w:t>
            </w:r>
          </w:p>
        </w:tc>
        <w:tc>
          <w:tcPr>
            <w:tcW w:w="15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CMA CGM</w:t>
            </w:r>
          </w:p>
        </w:tc>
        <w:tc>
          <w:tcPr>
            <w:tcW w:w="123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11-Apr-16</w:t>
            </w:r>
          </w:p>
        </w:tc>
        <w:tc>
          <w:tcPr>
            <w:tcW w:w="21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24-Nov-16 - 11-Apr-17</w:t>
            </w:r>
          </w:p>
        </w:tc>
        <w:tc>
          <w:tcPr>
            <w:tcW w:w="112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1 </w:t>
            </w:r>
          </w:p>
        </w:tc>
      </w:tr>
      <w:tr w:rsidR="00E87DA3" w:rsidTr="000E2CC5">
        <w:trPr>
          <w:trHeight w:val="210"/>
        </w:trPr>
        <w:tc>
          <w:tcPr>
            <w:tcW w:w="169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2001   3,739</w:t>
            </w:r>
          </w:p>
        </w:tc>
        <w:tc>
          <w:tcPr>
            <w:tcW w:w="73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CAP DOUKATO</w:t>
            </w:r>
          </w:p>
        </w:tc>
        <w:tc>
          <w:tcPr>
            <w:tcW w:w="73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w:t>
            </w:r>
            <w:proofErr w:type="spellStart"/>
            <w:r>
              <w:rPr>
                <w:color w:val="000000"/>
                <w:sz w:val="16"/>
              </w:rPr>
              <w:t>ex Cap</w:t>
            </w:r>
            <w:proofErr w:type="spellEnd"/>
            <w:r>
              <w:rPr>
                <w:color w:val="000000"/>
                <w:sz w:val="16"/>
              </w:rPr>
              <w:t xml:space="preserve"> San Raphael)</w:t>
            </w:r>
          </w:p>
        </w:tc>
        <w:tc>
          <w:tcPr>
            <w:tcW w:w="73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C</w:t>
            </w:r>
          </w:p>
        </w:tc>
        <w:tc>
          <w:tcPr>
            <w:tcW w:w="154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$6,250</w:t>
            </w:r>
          </w:p>
        </w:tc>
        <w:tc>
          <w:tcPr>
            <w:tcW w:w="87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3.75%</w:t>
            </w:r>
          </w:p>
        </w:tc>
        <w:tc>
          <w:tcPr>
            <w:tcW w:w="15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Rudolf A. </w:t>
            </w:r>
            <w:proofErr w:type="spellStart"/>
            <w:r>
              <w:rPr>
                <w:color w:val="000000"/>
                <w:sz w:val="16"/>
              </w:rPr>
              <w:t>Oetker</w:t>
            </w:r>
            <w:proofErr w:type="spellEnd"/>
            <w:r>
              <w:rPr>
                <w:color w:val="000000"/>
                <w:sz w:val="16"/>
              </w:rPr>
              <w:t xml:space="preserve"> KG</w:t>
            </w:r>
          </w:p>
        </w:tc>
        <w:tc>
          <w:tcPr>
            <w:tcW w:w="123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23-Jan-16</w:t>
            </w:r>
          </w:p>
        </w:tc>
        <w:tc>
          <w:tcPr>
            <w:tcW w:w="21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25-Nov-16 - 23-Jan-17</w:t>
            </w:r>
          </w:p>
        </w:tc>
        <w:tc>
          <w:tcPr>
            <w:tcW w:w="112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1,10</w:t>
            </w:r>
          </w:p>
        </w:tc>
      </w:tr>
      <w:tr w:rsidR="00E87DA3" w:rsidTr="000E2CC5">
        <w:trPr>
          <w:trHeight w:val="210"/>
        </w:trPr>
        <w:tc>
          <w:tcPr>
            <w:tcW w:w="169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2002   3,739</w:t>
            </w:r>
          </w:p>
        </w:tc>
        <w:tc>
          <w:tcPr>
            <w:tcW w:w="73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hRule="exact" w:val="135"/>
        </w:trPr>
        <w:tc>
          <w:tcPr>
            <w:tcW w:w="1695" w:type="dxa"/>
            <w:tcBorders>
              <w:top w:val="single" w:sz="6" w:space="0" w:color="000000"/>
              <w:left w:val="nil"/>
              <w:bottom w:val="single" w:sz="12" w:space="0" w:color="000000"/>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 xml:space="preserve"> </w:t>
            </w:r>
          </w:p>
        </w:tc>
        <w:tc>
          <w:tcPr>
            <w:tcW w:w="735" w:type="dxa"/>
            <w:tcBorders>
              <w:top w:val="single" w:sz="6" w:space="0" w:color="000000"/>
              <w:left w:val="nil"/>
              <w:bottom w:val="single" w:sz="12"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single" w:sz="6" w:space="0" w:color="000000"/>
              <w:left w:val="nil"/>
              <w:bottom w:val="single" w:sz="12"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single" w:sz="6" w:space="0" w:color="000000"/>
              <w:left w:val="nil"/>
              <w:bottom w:val="single" w:sz="12"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single" w:sz="6" w:space="0" w:color="000000"/>
              <w:left w:val="nil"/>
              <w:bottom w:val="single" w:sz="12"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single" w:sz="6" w:space="0" w:color="000000"/>
              <w:left w:val="nil"/>
              <w:bottom w:val="single" w:sz="12"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single" w:sz="6" w:space="0" w:color="000000"/>
              <w:left w:val="nil"/>
              <w:bottom w:val="single" w:sz="12"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single" w:sz="6" w:space="0" w:color="000000"/>
              <w:left w:val="nil"/>
              <w:bottom w:val="single" w:sz="12"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300"/>
        </w:trPr>
        <w:tc>
          <w:tcPr>
            <w:tcW w:w="10800" w:type="dxa"/>
            <w:gridSpan w:val="8"/>
            <w:tcBorders>
              <w:top w:val="single" w:sz="12" w:space="0" w:color="000000"/>
              <w:left w:val="nil"/>
              <w:bottom w:val="single" w:sz="12" w:space="0" w:color="000000"/>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16"/>
              </w:rPr>
            </w:pPr>
            <w:r>
              <w:rPr>
                <w:b/>
                <w:color w:val="000000"/>
                <w:sz w:val="24"/>
              </w:rPr>
              <w:t>6 Post - Panamax Container Vessels</w:t>
            </w:r>
          </w:p>
        </w:tc>
      </w:tr>
      <w:tr w:rsidR="00E87DA3" w:rsidTr="000E2CC5">
        <w:trPr>
          <w:trHeight w:hRule="exact" w:val="150"/>
        </w:trPr>
        <w:tc>
          <w:tcPr>
            <w:tcW w:w="169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rPr>
                <w:b/>
                <w:color w:val="000000"/>
                <w:sz w:val="24"/>
              </w:rPr>
            </w:pPr>
            <w:r>
              <w:rPr>
                <w:color w:val="000000"/>
                <w:sz w:val="16"/>
              </w:rPr>
              <w:t xml:space="preserve"> </w:t>
            </w:r>
          </w:p>
        </w:tc>
        <w:tc>
          <w:tcPr>
            <w:tcW w:w="73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PUELO</w:t>
            </w:r>
          </w:p>
        </w:tc>
        <w:tc>
          <w:tcPr>
            <w:tcW w:w="73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 xml:space="preserve"> </w:t>
            </w:r>
          </w:p>
        </w:tc>
        <w:tc>
          <w:tcPr>
            <w:tcW w:w="73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D</w:t>
            </w:r>
          </w:p>
        </w:tc>
        <w:tc>
          <w:tcPr>
            <w:tcW w:w="154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$6,500</w:t>
            </w:r>
          </w:p>
        </w:tc>
        <w:tc>
          <w:tcPr>
            <w:tcW w:w="87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3.75%</w:t>
            </w:r>
          </w:p>
        </w:tc>
        <w:tc>
          <w:tcPr>
            <w:tcW w:w="1500" w:type="dxa"/>
            <w:vMerge w:val="restart"/>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MSC-Mediterranean Shipping Co. S.A., Geneva</w:t>
            </w:r>
          </w:p>
        </w:tc>
        <w:tc>
          <w:tcPr>
            <w:tcW w:w="123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17-May-16</w:t>
            </w:r>
          </w:p>
        </w:tc>
        <w:tc>
          <w:tcPr>
            <w:tcW w:w="21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17-Apr-17 - 17-Jun-17</w:t>
            </w:r>
          </w:p>
        </w:tc>
        <w:tc>
          <w:tcPr>
            <w:tcW w:w="112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11 </w:t>
            </w:r>
          </w:p>
        </w:tc>
      </w:tr>
      <w:tr w:rsidR="00E87DA3" w:rsidTr="000E2CC5">
        <w:trPr>
          <w:trHeight w:val="210"/>
        </w:trPr>
        <w:tc>
          <w:tcPr>
            <w:tcW w:w="1695"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rPr>
                <w:color w:val="000000"/>
                <w:sz w:val="16"/>
              </w:rPr>
            </w:pPr>
            <w:r>
              <w:rPr>
                <w:color w:val="000000"/>
                <w:sz w:val="16"/>
              </w:rPr>
              <w:t>2006   6,541</w:t>
            </w:r>
          </w:p>
        </w:tc>
        <w:tc>
          <w:tcPr>
            <w:tcW w:w="73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vMerge/>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p>
        </w:tc>
        <w:tc>
          <w:tcPr>
            <w:tcW w:w="123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PUCON</w:t>
            </w:r>
          </w:p>
        </w:tc>
        <w:tc>
          <w:tcPr>
            <w:tcW w:w="73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 xml:space="preserve"> </w:t>
            </w:r>
          </w:p>
        </w:tc>
        <w:tc>
          <w:tcPr>
            <w:tcW w:w="73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D</w:t>
            </w:r>
          </w:p>
        </w:tc>
        <w:tc>
          <w:tcPr>
            <w:tcW w:w="154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$17,000</w:t>
            </w:r>
          </w:p>
        </w:tc>
        <w:tc>
          <w:tcPr>
            <w:tcW w:w="87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3.75%</w:t>
            </w:r>
          </w:p>
        </w:tc>
        <w:tc>
          <w:tcPr>
            <w:tcW w:w="15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proofErr w:type="spellStart"/>
            <w:r>
              <w:rPr>
                <w:color w:val="000000"/>
                <w:sz w:val="16"/>
              </w:rPr>
              <w:t>Hapag</w:t>
            </w:r>
            <w:proofErr w:type="spellEnd"/>
            <w:r>
              <w:rPr>
                <w:color w:val="000000"/>
                <w:sz w:val="16"/>
              </w:rPr>
              <w:t>-Lloyd AG</w:t>
            </w:r>
          </w:p>
        </w:tc>
        <w:tc>
          <w:tcPr>
            <w:tcW w:w="123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20-Aug-15</w:t>
            </w:r>
          </w:p>
        </w:tc>
        <w:tc>
          <w:tcPr>
            <w:tcW w:w="21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1-Jun-16</w:t>
            </w:r>
          </w:p>
        </w:tc>
        <w:tc>
          <w:tcPr>
            <w:tcW w:w="112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12,13,14,15</w:t>
            </w:r>
          </w:p>
        </w:tc>
      </w:tr>
      <w:tr w:rsidR="00E87DA3" w:rsidTr="000E2CC5">
        <w:trPr>
          <w:trHeight w:val="210"/>
        </w:trPr>
        <w:tc>
          <w:tcPr>
            <w:tcW w:w="169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2006   6,541</w:t>
            </w:r>
          </w:p>
        </w:tc>
        <w:tc>
          <w:tcPr>
            <w:tcW w:w="73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MARCH</w:t>
            </w:r>
          </w:p>
        </w:tc>
        <w:tc>
          <w:tcPr>
            <w:tcW w:w="73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(ex YM March)</w:t>
            </w:r>
          </w:p>
        </w:tc>
        <w:tc>
          <w:tcPr>
            <w:tcW w:w="73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E</w:t>
            </w:r>
          </w:p>
        </w:tc>
        <w:tc>
          <w:tcPr>
            <w:tcW w:w="154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$6,075</w:t>
            </w:r>
          </w:p>
        </w:tc>
        <w:tc>
          <w:tcPr>
            <w:tcW w:w="87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5.00%</w:t>
            </w:r>
          </w:p>
        </w:tc>
        <w:tc>
          <w:tcPr>
            <w:tcW w:w="15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proofErr w:type="spellStart"/>
            <w:r>
              <w:rPr>
                <w:color w:val="000000"/>
                <w:sz w:val="16"/>
              </w:rPr>
              <w:t>SeaGo</w:t>
            </w:r>
            <w:proofErr w:type="spellEnd"/>
            <w:r>
              <w:rPr>
                <w:color w:val="000000"/>
                <w:sz w:val="16"/>
              </w:rPr>
              <w:t xml:space="preserve"> Line A/S</w:t>
            </w:r>
          </w:p>
        </w:tc>
        <w:tc>
          <w:tcPr>
            <w:tcW w:w="123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3-Jul-16</w:t>
            </w:r>
          </w:p>
        </w:tc>
        <w:tc>
          <w:tcPr>
            <w:tcW w:w="21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3-Feb-17 - 3-Jul-17</w:t>
            </w:r>
          </w:p>
        </w:tc>
        <w:tc>
          <w:tcPr>
            <w:tcW w:w="112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16 </w:t>
            </w:r>
          </w:p>
        </w:tc>
      </w:tr>
      <w:tr w:rsidR="00E87DA3" w:rsidTr="000E2CC5">
        <w:trPr>
          <w:trHeight w:val="210"/>
        </w:trPr>
        <w:tc>
          <w:tcPr>
            <w:tcW w:w="169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2004   5,576</w:t>
            </w:r>
          </w:p>
        </w:tc>
        <w:tc>
          <w:tcPr>
            <w:tcW w:w="73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GREAT</w:t>
            </w:r>
          </w:p>
        </w:tc>
        <w:tc>
          <w:tcPr>
            <w:tcW w:w="73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(ex YM Great)</w:t>
            </w:r>
          </w:p>
        </w:tc>
        <w:tc>
          <w:tcPr>
            <w:tcW w:w="73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E</w:t>
            </w:r>
          </w:p>
        </w:tc>
        <w:tc>
          <w:tcPr>
            <w:tcW w:w="154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$6,000</w:t>
            </w:r>
          </w:p>
        </w:tc>
        <w:tc>
          <w:tcPr>
            <w:tcW w:w="87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5.00%</w:t>
            </w:r>
          </w:p>
        </w:tc>
        <w:tc>
          <w:tcPr>
            <w:tcW w:w="15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Maersk Line A/S</w:t>
            </w:r>
          </w:p>
        </w:tc>
        <w:tc>
          <w:tcPr>
            <w:tcW w:w="123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15-Feb-16</w:t>
            </w:r>
          </w:p>
        </w:tc>
        <w:tc>
          <w:tcPr>
            <w:tcW w:w="21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18-May-16</w:t>
            </w:r>
          </w:p>
        </w:tc>
        <w:tc>
          <w:tcPr>
            <w:tcW w:w="112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17,18</w:t>
            </w:r>
          </w:p>
        </w:tc>
      </w:tr>
      <w:tr w:rsidR="00E87DA3" w:rsidTr="000E2CC5">
        <w:trPr>
          <w:trHeight w:val="210"/>
        </w:trPr>
        <w:tc>
          <w:tcPr>
            <w:tcW w:w="169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2004   5,576</w:t>
            </w:r>
          </w:p>
        </w:tc>
        <w:tc>
          <w:tcPr>
            <w:tcW w:w="73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HAMBURG</w:t>
            </w:r>
          </w:p>
        </w:tc>
        <w:tc>
          <w:tcPr>
            <w:tcW w:w="73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 xml:space="preserve"> </w:t>
            </w:r>
          </w:p>
        </w:tc>
        <w:tc>
          <w:tcPr>
            <w:tcW w:w="73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F</w:t>
            </w:r>
          </w:p>
        </w:tc>
        <w:tc>
          <w:tcPr>
            <w:tcW w:w="154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$6,350</w:t>
            </w:r>
          </w:p>
        </w:tc>
        <w:tc>
          <w:tcPr>
            <w:tcW w:w="87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5.00%</w:t>
            </w:r>
          </w:p>
        </w:tc>
        <w:tc>
          <w:tcPr>
            <w:tcW w:w="15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Maersk Line A/S</w:t>
            </w:r>
          </w:p>
        </w:tc>
        <w:tc>
          <w:tcPr>
            <w:tcW w:w="123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31-May-16</w:t>
            </w:r>
          </w:p>
        </w:tc>
        <w:tc>
          <w:tcPr>
            <w:tcW w:w="21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14-Nov-16</w:t>
            </w:r>
          </w:p>
        </w:tc>
        <w:tc>
          <w:tcPr>
            <w:tcW w:w="112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19 </w:t>
            </w:r>
          </w:p>
        </w:tc>
      </w:tr>
      <w:tr w:rsidR="00E87DA3" w:rsidTr="000E2CC5">
        <w:trPr>
          <w:trHeight w:val="210"/>
        </w:trPr>
        <w:tc>
          <w:tcPr>
            <w:tcW w:w="169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2009   6,494</w:t>
            </w:r>
          </w:p>
        </w:tc>
        <w:tc>
          <w:tcPr>
            <w:tcW w:w="73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nil"/>
              <w:left w:val="nil"/>
              <w:bottom w:val="single" w:sz="6"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ROTTERDAM</w:t>
            </w:r>
          </w:p>
        </w:tc>
        <w:tc>
          <w:tcPr>
            <w:tcW w:w="73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single" w:sz="6" w:space="0" w:color="000000"/>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69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 xml:space="preserve"> </w:t>
            </w:r>
          </w:p>
        </w:tc>
        <w:tc>
          <w:tcPr>
            <w:tcW w:w="73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F</w:t>
            </w:r>
          </w:p>
        </w:tc>
        <w:tc>
          <w:tcPr>
            <w:tcW w:w="154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$6,200</w:t>
            </w:r>
          </w:p>
        </w:tc>
        <w:tc>
          <w:tcPr>
            <w:tcW w:w="87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5.00%</w:t>
            </w:r>
          </w:p>
        </w:tc>
        <w:tc>
          <w:tcPr>
            <w:tcW w:w="15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Maersk Line A/S</w:t>
            </w:r>
          </w:p>
        </w:tc>
        <w:tc>
          <w:tcPr>
            <w:tcW w:w="123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27-Apr-16</w:t>
            </w:r>
          </w:p>
        </w:tc>
        <w:tc>
          <w:tcPr>
            <w:tcW w:w="2100"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24-Nov-16 - 11-Jun-17</w:t>
            </w:r>
          </w:p>
        </w:tc>
        <w:tc>
          <w:tcPr>
            <w:tcW w:w="1125" w:type="dxa"/>
            <w:tcBorders>
              <w:top w:val="nil"/>
              <w:left w:val="nil"/>
              <w:bottom w:val="nil"/>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1,20</w:t>
            </w:r>
          </w:p>
        </w:tc>
      </w:tr>
      <w:tr w:rsidR="00E87DA3" w:rsidTr="000E2CC5">
        <w:trPr>
          <w:trHeight w:val="210"/>
        </w:trPr>
        <w:tc>
          <w:tcPr>
            <w:tcW w:w="1695" w:type="dxa"/>
            <w:tcBorders>
              <w:top w:val="nil"/>
              <w:left w:val="nil"/>
              <w:bottom w:val="single" w:sz="12" w:space="0" w:color="000000"/>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2008   6,494</w:t>
            </w:r>
          </w:p>
        </w:tc>
        <w:tc>
          <w:tcPr>
            <w:tcW w:w="735" w:type="dxa"/>
            <w:tcBorders>
              <w:top w:val="nil"/>
              <w:left w:val="nil"/>
              <w:bottom w:val="single" w:sz="12"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45" w:type="dxa"/>
            <w:tcBorders>
              <w:top w:val="nil"/>
              <w:left w:val="nil"/>
              <w:bottom w:val="single" w:sz="12"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870" w:type="dxa"/>
            <w:tcBorders>
              <w:top w:val="nil"/>
              <w:left w:val="nil"/>
              <w:bottom w:val="single" w:sz="12"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500" w:type="dxa"/>
            <w:tcBorders>
              <w:top w:val="nil"/>
              <w:left w:val="nil"/>
              <w:bottom w:val="single" w:sz="12"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230" w:type="dxa"/>
            <w:tcBorders>
              <w:top w:val="nil"/>
              <w:left w:val="nil"/>
              <w:bottom w:val="single" w:sz="12"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2100" w:type="dxa"/>
            <w:tcBorders>
              <w:top w:val="nil"/>
              <w:left w:val="nil"/>
              <w:bottom w:val="single" w:sz="12"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c>
          <w:tcPr>
            <w:tcW w:w="1125" w:type="dxa"/>
            <w:tcBorders>
              <w:top w:val="nil"/>
              <w:left w:val="nil"/>
              <w:bottom w:val="single" w:sz="12" w:space="0" w:color="000000"/>
              <w:right w:val="nil"/>
              <w:tl2br w:val="nil"/>
              <w:tr2bl w:val="nil"/>
            </w:tcBorders>
            <w:shd w:val="clear" w:color="auto" w:fill="FFFFFF"/>
            <w:tcMar>
              <w:left w:w="115" w:type="dxa"/>
              <w:right w:w="115" w:type="dxa"/>
            </w:tcMar>
          </w:tcPr>
          <w:p w:rsidR="00E87DA3" w:rsidRDefault="00E87DA3" w:rsidP="000E2CC5">
            <w:pPr>
              <w:jc w:val="center"/>
              <w:rPr>
                <w:color w:val="000000"/>
                <w:sz w:val="16"/>
              </w:rPr>
            </w:pPr>
            <w:r>
              <w:rPr>
                <w:color w:val="000000"/>
                <w:sz w:val="16"/>
              </w:rPr>
              <w:t xml:space="preserve"> </w:t>
            </w:r>
          </w:p>
        </w:tc>
      </w:tr>
      <w:tr w:rsidR="00E87DA3" w:rsidTr="000E2CC5">
        <w:trPr>
          <w:trHeight w:val="210"/>
        </w:trPr>
        <w:tc>
          <w:tcPr>
            <w:tcW w:w="10800" w:type="dxa"/>
            <w:gridSpan w:val="8"/>
            <w:tcBorders>
              <w:top w:val="single" w:sz="12" w:space="0" w:color="000000"/>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 Each container vessel is a "sister ship", or closely similar, to other container vessels that have the same letter.</w:t>
            </w:r>
          </w:p>
        </w:tc>
      </w:tr>
      <w:tr w:rsidR="00E87DA3" w:rsidTr="000E2CC5">
        <w:trPr>
          <w:trHeight w:val="225"/>
        </w:trPr>
        <w:tc>
          <w:tcPr>
            <w:tcW w:w="10800" w:type="dxa"/>
            <w:gridSpan w:val="8"/>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 Total commission paid to third parties.</w:t>
            </w:r>
          </w:p>
        </w:tc>
      </w:tr>
      <w:tr w:rsidR="00E87DA3" w:rsidTr="000E2CC5">
        <w:trPr>
          <w:trHeight w:val="300"/>
        </w:trPr>
        <w:tc>
          <w:tcPr>
            <w:tcW w:w="10800" w:type="dxa"/>
            <w:gridSpan w:val="8"/>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 In case of newly acquired vessel with time charter attached, this date refers to the expected/actual date of delivery of the vessel to the Company.</w:t>
            </w:r>
          </w:p>
        </w:tc>
      </w:tr>
      <w:tr w:rsidR="00E87DA3" w:rsidTr="000E2CC5">
        <w:trPr>
          <w:trHeight w:val="300"/>
        </w:trPr>
        <w:tc>
          <w:tcPr>
            <w:tcW w:w="10800" w:type="dxa"/>
            <w:gridSpan w:val="8"/>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 xml:space="preserve">**** Range of redelivery dates, with the actual date of redelivery being at the Charterers’ option, but subject to the terms, conditions, and exceptions of the particular </w:t>
            </w:r>
            <w:proofErr w:type="spellStart"/>
            <w:r>
              <w:rPr>
                <w:color w:val="000000"/>
                <w:sz w:val="16"/>
              </w:rPr>
              <w:t>charterparty</w:t>
            </w:r>
            <w:proofErr w:type="spellEnd"/>
            <w:r>
              <w:rPr>
                <w:color w:val="000000"/>
                <w:sz w:val="16"/>
              </w:rPr>
              <w:t>.</w:t>
            </w:r>
          </w:p>
        </w:tc>
      </w:tr>
      <w:tr w:rsidR="00E87DA3" w:rsidTr="000E2CC5">
        <w:trPr>
          <w:trHeight w:val="300"/>
        </w:trPr>
        <w:tc>
          <w:tcPr>
            <w:tcW w:w="10800" w:type="dxa"/>
            <w:gridSpan w:val="8"/>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1 Based on latest information.</w:t>
            </w:r>
          </w:p>
        </w:tc>
      </w:tr>
      <w:tr w:rsidR="00E87DA3" w:rsidTr="000E2CC5">
        <w:trPr>
          <w:trHeight w:val="270"/>
        </w:trPr>
        <w:tc>
          <w:tcPr>
            <w:tcW w:w="10800" w:type="dxa"/>
            <w:gridSpan w:val="8"/>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2 In September 2015, the Company agreed to extend as from October 2, 2015 the previous charter party with Maersk Line A/S for a period of minimum 11 months to maximum 18 months at a gross charter rate of US$10,875 per day.</w:t>
            </w:r>
          </w:p>
        </w:tc>
      </w:tr>
      <w:tr w:rsidR="00E87DA3" w:rsidTr="000E2CC5">
        <w:trPr>
          <w:trHeight w:val="300"/>
        </w:trPr>
        <w:tc>
          <w:tcPr>
            <w:tcW w:w="10800" w:type="dxa"/>
            <w:gridSpan w:val="8"/>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lastRenderedPageBreak/>
              <w:t xml:space="preserve">3 In September 2016, the Company agreed to extend as from September 16, 2016 (00:01) the previous charter party with Maersk Line A/S for a period of minimum 70 days to maximum 12 months at a gross charter rate of US$5,150 per day. Charterer has the option to employ the vessel for a further 3 month period plus or minus 30 days at a gross charter rate of US$11,000 per day minus 5% commission paid to third parties. The optional period if exercised will start 12 months after the delivery of the vessel to the charterer and must be declared not later than 11 months prior to this date. </w:t>
            </w:r>
          </w:p>
        </w:tc>
      </w:tr>
      <w:tr w:rsidR="00E87DA3" w:rsidTr="000E2CC5">
        <w:trPr>
          <w:trHeight w:val="270"/>
        </w:trPr>
        <w:tc>
          <w:tcPr>
            <w:tcW w:w="10800" w:type="dxa"/>
            <w:gridSpan w:val="8"/>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 xml:space="preserve">4 On September 23, 2016, charterers exercised their option to cancel the </w:t>
            </w:r>
            <w:proofErr w:type="spellStart"/>
            <w:r>
              <w:rPr>
                <w:color w:val="000000"/>
                <w:sz w:val="16"/>
              </w:rPr>
              <w:t>charterparty</w:t>
            </w:r>
            <w:proofErr w:type="spellEnd"/>
            <w:r>
              <w:rPr>
                <w:color w:val="000000"/>
                <w:sz w:val="16"/>
              </w:rPr>
              <w:t xml:space="preserve"> with immediate effect, insofar as the off-hire events were estimated to exceed fifty (50) consecutive days starting from September 19, 2016, the date in which the vessel was placed off-hire.</w:t>
            </w:r>
          </w:p>
        </w:tc>
      </w:tr>
      <w:tr w:rsidR="00E87DA3" w:rsidTr="000E2CC5">
        <w:trPr>
          <w:trHeight w:val="270"/>
        </w:trPr>
        <w:tc>
          <w:tcPr>
            <w:tcW w:w="10800" w:type="dxa"/>
            <w:gridSpan w:val="8"/>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5 Vessel currently on unscheduled maintenance.</w:t>
            </w:r>
          </w:p>
        </w:tc>
      </w:tr>
      <w:tr w:rsidR="00E87DA3" w:rsidTr="000E2CC5">
        <w:trPr>
          <w:trHeight w:val="270"/>
        </w:trPr>
        <w:tc>
          <w:tcPr>
            <w:tcW w:w="10800" w:type="dxa"/>
            <w:gridSpan w:val="8"/>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6 For financial reporting purposes, an asset is recognized upon the delivery of the vessel which represents the difference between the current fair market value of the charter and the net present value of future contractual cash flows. This asset is amortized over the period of the time charter agreement and is set off against the corresponding revenues during the same period.</w:t>
            </w:r>
          </w:p>
        </w:tc>
      </w:tr>
      <w:tr w:rsidR="00E87DA3" w:rsidTr="000E2CC5">
        <w:trPr>
          <w:trHeight w:val="270"/>
        </w:trPr>
        <w:tc>
          <w:tcPr>
            <w:tcW w:w="10800" w:type="dxa"/>
            <w:gridSpan w:val="8"/>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7 "Angeles" sold and delivered to her new owners on November 15, 2016.</w:t>
            </w:r>
          </w:p>
        </w:tc>
      </w:tr>
      <w:tr w:rsidR="00E87DA3" w:rsidTr="000E2CC5">
        <w:trPr>
          <w:trHeight w:val="270"/>
        </w:trPr>
        <w:tc>
          <w:tcPr>
            <w:tcW w:w="10800" w:type="dxa"/>
            <w:gridSpan w:val="8"/>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8 As of October 11, 2016, vessel has been placed on lay-up, in Malaysia.</w:t>
            </w:r>
          </w:p>
        </w:tc>
      </w:tr>
      <w:tr w:rsidR="00E87DA3" w:rsidTr="000E2CC5">
        <w:trPr>
          <w:trHeight w:val="270"/>
        </w:trPr>
        <w:tc>
          <w:tcPr>
            <w:tcW w:w="10800" w:type="dxa"/>
            <w:gridSpan w:val="8"/>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9 As of October 10, 2016, vessel has been placed on lay-up, in Malaysia.</w:t>
            </w:r>
          </w:p>
        </w:tc>
      </w:tr>
      <w:tr w:rsidR="00E87DA3" w:rsidTr="000E2CC5">
        <w:trPr>
          <w:trHeight w:val="270"/>
        </w:trPr>
        <w:tc>
          <w:tcPr>
            <w:tcW w:w="10800" w:type="dxa"/>
            <w:gridSpan w:val="8"/>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 xml:space="preserve">10 In January 2016, the Company agreed to extend as from January 23, 2016 the previous charter party with Rudolf A. </w:t>
            </w:r>
            <w:proofErr w:type="spellStart"/>
            <w:r>
              <w:rPr>
                <w:color w:val="000000"/>
                <w:sz w:val="16"/>
              </w:rPr>
              <w:t>Oetker</w:t>
            </w:r>
            <w:proofErr w:type="spellEnd"/>
            <w:r>
              <w:rPr>
                <w:color w:val="000000"/>
                <w:sz w:val="16"/>
              </w:rPr>
              <w:t xml:space="preserve"> KG for a period of minimum 3 months to maximum 12 months at a gross charter rate of US$6,250 per day.</w:t>
            </w:r>
          </w:p>
        </w:tc>
      </w:tr>
      <w:tr w:rsidR="00E87DA3" w:rsidTr="000E2CC5">
        <w:trPr>
          <w:trHeight w:val="270"/>
        </w:trPr>
        <w:tc>
          <w:tcPr>
            <w:tcW w:w="10800" w:type="dxa"/>
            <w:gridSpan w:val="8"/>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 xml:space="preserve">11 The charterer has the option to further employ the vessel for a twelve (12) month period, at a gross charter rate of US$8,600 per day starting twelve (12) months after delivery of the vessel to the charterer. After that period the charterer has the option to employ the vessel for a further twelve (12) month period, at </w:t>
            </w:r>
            <w:proofErr w:type="gramStart"/>
            <w:r>
              <w:rPr>
                <w:color w:val="000000"/>
                <w:sz w:val="16"/>
              </w:rPr>
              <w:t>a  gross</w:t>
            </w:r>
            <w:proofErr w:type="gramEnd"/>
            <w:r>
              <w:rPr>
                <w:color w:val="000000"/>
                <w:sz w:val="16"/>
              </w:rPr>
              <w:t xml:space="preserve"> charter rate of US$20,000 starting twenty-four (24) months after delivery of the vessel to the charterer. Charterer has the option to employ the vessel for plus or minus thirty (30) days on final declaration.  All gross charter rates include a 3.75% commission paid to third parties. Options must be declared by the charterer not later than nine (9) months for the first option and twenty (20) months for the second option after the delivery of the vessel to the charterer.</w:t>
            </w:r>
          </w:p>
        </w:tc>
      </w:tr>
      <w:tr w:rsidR="00E87DA3" w:rsidTr="000E2CC5">
        <w:trPr>
          <w:trHeight w:val="270"/>
        </w:trPr>
        <w:tc>
          <w:tcPr>
            <w:tcW w:w="10800" w:type="dxa"/>
            <w:gridSpan w:val="8"/>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12 The charterers paid the owners a compensation for the early redelivery of the vessel equal to the amount of US$6,000 per day for the period between August 20, 2015 and up to March 20, 2016.</w:t>
            </w:r>
          </w:p>
        </w:tc>
      </w:tr>
      <w:tr w:rsidR="00E87DA3" w:rsidTr="000E2CC5">
        <w:trPr>
          <w:trHeight w:val="270"/>
        </w:trPr>
        <w:tc>
          <w:tcPr>
            <w:tcW w:w="10800" w:type="dxa"/>
            <w:gridSpan w:val="8"/>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 xml:space="preserve">13 Charterers changed to </w:t>
            </w:r>
            <w:proofErr w:type="spellStart"/>
            <w:r>
              <w:rPr>
                <w:color w:val="000000"/>
                <w:sz w:val="16"/>
              </w:rPr>
              <w:t>Norasia</w:t>
            </w:r>
            <w:proofErr w:type="spellEnd"/>
            <w:r>
              <w:rPr>
                <w:color w:val="000000"/>
                <w:sz w:val="16"/>
              </w:rPr>
              <w:t xml:space="preserve"> Container Lines Limited, as per Novation Agreement signed in September 2014 with a retroactive effect from July 1, 2014. As per same Novation Agreement, with effect from April 28, 2015, charterers have changed to </w:t>
            </w:r>
            <w:proofErr w:type="spellStart"/>
            <w:r>
              <w:rPr>
                <w:color w:val="000000"/>
                <w:sz w:val="16"/>
              </w:rPr>
              <w:t>Hapag</w:t>
            </w:r>
            <w:proofErr w:type="spellEnd"/>
            <w:r>
              <w:rPr>
                <w:color w:val="000000"/>
                <w:sz w:val="16"/>
              </w:rPr>
              <w:t>-Lloyd AG.</w:t>
            </w:r>
          </w:p>
        </w:tc>
      </w:tr>
      <w:tr w:rsidR="00E87DA3" w:rsidTr="000E2CC5">
        <w:trPr>
          <w:trHeight w:val="270"/>
        </w:trPr>
        <w:tc>
          <w:tcPr>
            <w:tcW w:w="10800" w:type="dxa"/>
            <w:gridSpan w:val="8"/>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 xml:space="preserve">14 In July 2015, the Company agreed to extend as from August 20, 2015 (00:01) the previous charter party with </w:t>
            </w:r>
            <w:proofErr w:type="spellStart"/>
            <w:r>
              <w:rPr>
                <w:color w:val="000000"/>
                <w:sz w:val="16"/>
              </w:rPr>
              <w:t>Hapag</w:t>
            </w:r>
            <w:proofErr w:type="spellEnd"/>
            <w:r>
              <w:rPr>
                <w:color w:val="000000"/>
                <w:sz w:val="16"/>
              </w:rPr>
              <w:t>-Lloyd AG for a period of up to minimum May 10, 2016 to maximum July 20, 2016 at a gross charter rate of US$17,000 per day.</w:t>
            </w:r>
          </w:p>
        </w:tc>
      </w:tr>
      <w:tr w:rsidR="00E87DA3" w:rsidTr="000E2CC5">
        <w:trPr>
          <w:trHeight w:val="270"/>
        </w:trPr>
        <w:tc>
          <w:tcPr>
            <w:tcW w:w="10800" w:type="dxa"/>
            <w:gridSpan w:val="8"/>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15 As of July 27, 2016, vessel has been placed on lay-up, in Malaysia.</w:t>
            </w:r>
          </w:p>
        </w:tc>
      </w:tr>
      <w:tr w:rsidR="00E87DA3" w:rsidTr="000E2CC5">
        <w:trPr>
          <w:trHeight w:val="270"/>
        </w:trPr>
        <w:tc>
          <w:tcPr>
            <w:tcW w:w="10800" w:type="dxa"/>
            <w:gridSpan w:val="8"/>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16 The charter rate commenced 10 days after the delivery of the vessel to the charterers.</w:t>
            </w:r>
          </w:p>
        </w:tc>
      </w:tr>
      <w:tr w:rsidR="00E87DA3" w:rsidTr="000E2CC5">
        <w:trPr>
          <w:trHeight w:val="270"/>
        </w:trPr>
        <w:tc>
          <w:tcPr>
            <w:tcW w:w="10800" w:type="dxa"/>
            <w:gridSpan w:val="8"/>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17 In January 2016, the Company agreed to extend as from February 15, 2016 the previous charter party with Maersk Line A/S for a period of minimum 2 months to maximum 12 months at a gross charter rate of US$6,000 per day.</w:t>
            </w:r>
          </w:p>
        </w:tc>
      </w:tr>
      <w:tr w:rsidR="00E87DA3" w:rsidTr="000E2CC5">
        <w:trPr>
          <w:trHeight w:val="270"/>
        </w:trPr>
        <w:tc>
          <w:tcPr>
            <w:tcW w:w="10800" w:type="dxa"/>
            <w:gridSpan w:val="8"/>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18 As of September 27, 2016, vessel has been placed on lay-up, in Malaysia.</w:t>
            </w:r>
          </w:p>
        </w:tc>
      </w:tr>
      <w:tr w:rsidR="00E87DA3" w:rsidTr="000E2CC5">
        <w:trPr>
          <w:trHeight w:val="270"/>
        </w:trPr>
        <w:tc>
          <w:tcPr>
            <w:tcW w:w="10800" w:type="dxa"/>
            <w:gridSpan w:val="8"/>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 xml:space="preserve">19 Currently without an active </w:t>
            </w:r>
            <w:proofErr w:type="spellStart"/>
            <w:r>
              <w:rPr>
                <w:color w:val="000000"/>
                <w:sz w:val="16"/>
              </w:rPr>
              <w:t>charterparty</w:t>
            </w:r>
            <w:proofErr w:type="spellEnd"/>
            <w:r>
              <w:rPr>
                <w:color w:val="000000"/>
                <w:sz w:val="16"/>
              </w:rPr>
              <w:t>.</w:t>
            </w:r>
          </w:p>
        </w:tc>
      </w:tr>
      <w:tr w:rsidR="00E87DA3" w:rsidTr="000E2CC5">
        <w:trPr>
          <w:trHeight w:val="270"/>
        </w:trPr>
        <w:tc>
          <w:tcPr>
            <w:tcW w:w="10800" w:type="dxa"/>
            <w:gridSpan w:val="8"/>
            <w:tcBorders>
              <w:top w:val="nil"/>
              <w:left w:val="nil"/>
              <w:bottom w:val="nil"/>
              <w:right w:val="nil"/>
              <w:tl2br w:val="nil"/>
              <w:tr2bl w:val="nil"/>
            </w:tcBorders>
            <w:shd w:val="clear" w:color="auto" w:fill="FFFFFF"/>
            <w:tcMar>
              <w:left w:w="115" w:type="dxa"/>
              <w:right w:w="115" w:type="dxa"/>
            </w:tcMar>
          </w:tcPr>
          <w:p w:rsidR="00E87DA3" w:rsidRDefault="00E87DA3" w:rsidP="000E2CC5">
            <w:pPr>
              <w:rPr>
                <w:color w:val="000000"/>
                <w:sz w:val="16"/>
              </w:rPr>
            </w:pPr>
            <w:r>
              <w:rPr>
                <w:color w:val="000000"/>
                <w:sz w:val="16"/>
              </w:rPr>
              <w:t>20 In March 2016, the Company agreed to extend as from April 27, 2016 (00:01) the previous charter party with Maersk Line A/S for a period of minimum 6 months to about 13 months at a gross charter rate of US$6,200 per day.</w:t>
            </w:r>
          </w:p>
        </w:tc>
      </w:tr>
    </w:tbl>
    <w:p w:rsidR="00E87DA3" w:rsidRDefault="00E87DA3" w:rsidP="00E87DA3">
      <w:pPr>
        <w:spacing w:line="4" w:lineRule="exact"/>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3810"/>
        <w:gridCol w:w="250"/>
        <w:gridCol w:w="1440"/>
        <w:gridCol w:w="250"/>
        <w:gridCol w:w="1440"/>
        <w:gridCol w:w="250"/>
        <w:gridCol w:w="1365"/>
        <w:gridCol w:w="250"/>
        <w:gridCol w:w="1365"/>
      </w:tblGrid>
      <w:tr w:rsidR="00E87DA3" w:rsidTr="000E2CC5">
        <w:trPr>
          <w:trHeight w:val="300"/>
        </w:trPr>
        <w:tc>
          <w:tcPr>
            <w:tcW w:w="10335" w:type="dxa"/>
            <w:gridSpan w:val="10"/>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r>
              <w:rPr>
                <w:b/>
                <w:color w:val="000000"/>
              </w:rPr>
              <w:lastRenderedPageBreak/>
              <w:t>Summary of Selected Financial &amp; Other Data</w:t>
            </w:r>
          </w:p>
        </w:tc>
      </w:tr>
      <w:tr w:rsidR="00E87DA3" w:rsidTr="000E2CC5">
        <w:trPr>
          <w:trHeight w:val="285"/>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rPr>
            </w:pPr>
            <w:r>
              <w:rPr>
                <w:b/>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3060" w:type="dxa"/>
            <w:gridSpan w:val="3"/>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18"/>
              </w:rPr>
              <w:t>For the three months ended September 30,</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18"/>
              </w:rPr>
            </w:pPr>
            <w:r>
              <w:rPr>
                <w:b/>
                <w:color w:val="000000"/>
                <w:sz w:val="18"/>
              </w:rPr>
              <w:t xml:space="preserve"> </w:t>
            </w:r>
          </w:p>
        </w:tc>
        <w:tc>
          <w:tcPr>
            <w:tcW w:w="2910" w:type="dxa"/>
            <w:gridSpan w:val="3"/>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18"/>
              </w:rPr>
            </w:pPr>
            <w:r>
              <w:rPr>
                <w:b/>
                <w:color w:val="000000"/>
                <w:sz w:val="18"/>
              </w:rPr>
              <w:t>For the nine months ended September 30,</w:t>
            </w:r>
          </w:p>
        </w:tc>
      </w:tr>
      <w:tr w:rsidR="00E87DA3" w:rsidTr="000E2CC5">
        <w:trPr>
          <w:trHeight w:val="255"/>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18"/>
              </w:rPr>
            </w:pPr>
            <w:r>
              <w:rPr>
                <w:b/>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144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2016</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44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2015 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365"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2016</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365"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2015 </w:t>
            </w:r>
          </w:p>
        </w:tc>
      </w:tr>
      <w:tr w:rsidR="00E87DA3" w:rsidTr="000E2CC5">
        <w:trPr>
          <w:trHeight w:val="300"/>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1440"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18"/>
              </w:rPr>
              <w:t>(unaudited)</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18"/>
              </w:rPr>
            </w:pPr>
            <w:r>
              <w:rPr>
                <w:color w:val="000000"/>
                <w:sz w:val="20"/>
              </w:rPr>
              <w:t xml:space="preserve"> </w:t>
            </w:r>
          </w:p>
        </w:tc>
        <w:tc>
          <w:tcPr>
            <w:tcW w:w="1440"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18"/>
              </w:rPr>
              <w:t>(unaudited)</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18"/>
              </w:rPr>
            </w:pPr>
            <w:r>
              <w:rPr>
                <w:color w:val="000000"/>
                <w:sz w:val="18"/>
              </w:rPr>
              <w:t xml:space="preserve"> </w:t>
            </w:r>
          </w:p>
        </w:tc>
        <w:tc>
          <w:tcPr>
            <w:tcW w:w="1365"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18"/>
              </w:rPr>
            </w:pPr>
            <w:r>
              <w:rPr>
                <w:color w:val="000000"/>
                <w:sz w:val="18"/>
              </w:rPr>
              <w:t>(unaudited)</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18"/>
              </w:rPr>
            </w:pPr>
            <w:r>
              <w:rPr>
                <w:color w:val="000000"/>
                <w:sz w:val="20"/>
              </w:rPr>
              <w:t xml:space="preserve"> </w:t>
            </w:r>
          </w:p>
        </w:tc>
        <w:tc>
          <w:tcPr>
            <w:tcW w:w="1365"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18"/>
              </w:rPr>
              <w:t>(unaudited)</w:t>
            </w:r>
          </w:p>
        </w:tc>
      </w:tr>
      <w:tr w:rsidR="00E87DA3" w:rsidTr="000E2CC5">
        <w:trPr>
          <w:trHeight w:val="300"/>
        </w:trPr>
        <w:tc>
          <w:tcPr>
            <w:tcW w:w="10335" w:type="dxa"/>
            <w:gridSpan w:val="10"/>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18"/>
              </w:rPr>
            </w:pPr>
            <w:r>
              <w:rPr>
                <w:b/>
                <w:color w:val="000000"/>
                <w:sz w:val="20"/>
              </w:rPr>
              <w:t>STATEMENT OF OPERATIONS DATA (in thousands of US Dollars):</w:t>
            </w:r>
          </w:p>
        </w:tc>
      </w:tr>
      <w:tr w:rsidR="00E87DA3" w:rsidTr="000E2CC5">
        <w:trPr>
          <w:trHeight w:val="300"/>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Time charter revenues, net of prepaid charter revenue amortization</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7,983 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16,071 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27,747 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47,289 </w:t>
            </w:r>
          </w:p>
        </w:tc>
      </w:tr>
      <w:tr w:rsidR="00E87DA3" w:rsidTr="000E2CC5">
        <w:trPr>
          <w:trHeight w:val="300"/>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Voyage expenses</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834 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949 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2,785 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1,566 </w:t>
            </w:r>
          </w:p>
        </w:tc>
      </w:tr>
      <w:tr w:rsidR="00E87DA3" w:rsidTr="000E2CC5">
        <w:trPr>
          <w:trHeight w:val="300"/>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Vessel operating expenses</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7,918 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8,887 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24,696 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26,880 </w:t>
            </w:r>
          </w:p>
        </w:tc>
      </w:tr>
      <w:tr w:rsidR="00E87DA3" w:rsidTr="000E2CC5">
        <w:trPr>
          <w:trHeight w:val="300"/>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Net loss</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(126,778)</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(9,096)</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(140,556)</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(8,708)</w:t>
            </w:r>
          </w:p>
        </w:tc>
      </w:tr>
      <w:tr w:rsidR="00E87DA3" w:rsidTr="000E2CC5">
        <w:trPr>
          <w:trHeight w:val="300"/>
        </w:trPr>
        <w:tc>
          <w:tcPr>
            <w:tcW w:w="10335" w:type="dxa"/>
            <w:gridSpan w:val="10"/>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b/>
                <w:color w:val="000000"/>
                <w:sz w:val="20"/>
              </w:rPr>
              <w:t xml:space="preserve">FLEET DATA </w:t>
            </w:r>
          </w:p>
        </w:tc>
      </w:tr>
      <w:tr w:rsidR="00E87DA3" w:rsidTr="000E2CC5">
        <w:trPr>
          <w:trHeight w:val="300"/>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Average number of vessels</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13.0 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13.2 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13.2 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12.3 </w:t>
            </w:r>
          </w:p>
        </w:tc>
      </w:tr>
      <w:tr w:rsidR="00E87DA3" w:rsidTr="000E2CC5">
        <w:trPr>
          <w:trHeight w:val="300"/>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Number of vessels</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13.0 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13.0 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13.0 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13.0 </w:t>
            </w:r>
          </w:p>
        </w:tc>
      </w:tr>
      <w:tr w:rsidR="00E87DA3" w:rsidTr="000E2CC5">
        <w:trPr>
          <w:trHeight w:val="300"/>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Ownership days</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1,196 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1,215 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3,630 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3,358 </w:t>
            </w:r>
          </w:p>
        </w:tc>
      </w:tr>
      <w:tr w:rsidR="00E87DA3" w:rsidTr="000E2CC5">
        <w:trPr>
          <w:trHeight w:val="300"/>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Available days</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1,196 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1,195 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3,585 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3,273 </w:t>
            </w:r>
          </w:p>
        </w:tc>
      </w:tr>
      <w:tr w:rsidR="00E87DA3" w:rsidTr="000E2CC5">
        <w:trPr>
          <w:trHeight w:val="300"/>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Operating days</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899 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1,058 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2,650 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3,117 </w:t>
            </w:r>
          </w:p>
        </w:tc>
      </w:tr>
      <w:tr w:rsidR="00E87DA3" w:rsidTr="000E2CC5">
        <w:trPr>
          <w:trHeight w:val="300"/>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Fleet utilization</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75.2%</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88.5%</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73.9%</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95.2%</w:t>
            </w:r>
          </w:p>
        </w:tc>
      </w:tr>
      <w:tr w:rsidR="00E87DA3" w:rsidTr="000E2CC5">
        <w:trPr>
          <w:trHeight w:val="300"/>
        </w:trPr>
        <w:tc>
          <w:tcPr>
            <w:tcW w:w="10335" w:type="dxa"/>
            <w:gridSpan w:val="10"/>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b/>
                <w:color w:val="000000"/>
                <w:sz w:val="20"/>
              </w:rPr>
              <w:t xml:space="preserve">AVERAGE DAILY RESULTS </w:t>
            </w:r>
          </w:p>
        </w:tc>
      </w:tr>
      <w:tr w:rsidR="00E87DA3" w:rsidTr="000E2CC5">
        <w:trPr>
          <w:trHeight w:val="300"/>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rPr>
            </w:pPr>
            <w:r>
              <w:rPr>
                <w:color w:val="000000"/>
                <w:sz w:val="20"/>
              </w:rPr>
              <w:t>Time charter equivalent (TCE) rate (1)</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5,977 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12,654 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6,963 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13,970 </w:t>
            </w:r>
          </w:p>
        </w:tc>
      </w:tr>
      <w:tr w:rsidR="00E87DA3" w:rsidTr="000E2CC5">
        <w:trPr>
          <w:trHeight w:val="300"/>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Daily vessel operating expenses (2)</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6,620 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7,314 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6,803 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w:t>
            </w:r>
          </w:p>
        </w:tc>
        <w:tc>
          <w:tcPr>
            <w:tcW w:w="136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8,005 </w:t>
            </w:r>
          </w:p>
        </w:tc>
      </w:tr>
    </w:tbl>
    <w:p w:rsidR="00E87DA3" w:rsidRDefault="00E87DA3" w:rsidP="00E87DA3">
      <w:pPr>
        <w:rPr>
          <w:b/>
        </w:rPr>
      </w:pPr>
    </w:p>
    <w:p w:rsidR="00E87DA3" w:rsidRDefault="00E87DA3" w:rsidP="00E87DA3">
      <w:pPr>
        <w:pStyle w:val="Normal1"/>
        <w:tabs>
          <w:tab w:val="right" w:leader="underscore" w:pos="2268"/>
        </w:tabs>
        <w:suppressAutoHyphens/>
        <w:spacing w:line="240" w:lineRule="atLeast"/>
        <w:ind w:left="720" w:hanging="720"/>
        <w:jc w:val="both"/>
        <w:rPr>
          <w:sz w:val="20"/>
          <w:lang w:val="en-GB"/>
        </w:rPr>
      </w:pPr>
      <w:r w:rsidRPr="007A1EDB">
        <w:rPr>
          <w:sz w:val="20"/>
          <w:lang w:val="en-GB"/>
        </w:rPr>
        <w:tab/>
      </w:r>
      <w:r w:rsidRPr="007A1EDB">
        <w:rPr>
          <w:sz w:val="20"/>
          <w:lang w:val="en-GB"/>
        </w:rPr>
        <w:tab/>
      </w:r>
    </w:p>
    <w:p w:rsidR="00E87DA3" w:rsidRPr="007A1EDB" w:rsidRDefault="00E87DA3" w:rsidP="00E87DA3">
      <w:pPr>
        <w:pStyle w:val="Normal1"/>
        <w:tabs>
          <w:tab w:val="left" w:pos="-720"/>
          <w:tab w:val="left" w:pos="0"/>
        </w:tabs>
        <w:suppressAutoHyphens/>
        <w:spacing w:after="0" w:line="240" w:lineRule="auto"/>
        <w:ind w:left="720" w:hanging="720"/>
        <w:jc w:val="both"/>
        <w:rPr>
          <w:sz w:val="20"/>
          <w:lang w:val="en-GB"/>
        </w:rPr>
      </w:pPr>
      <w:r>
        <w:rPr>
          <w:sz w:val="20"/>
          <w:lang w:val="en-GB"/>
        </w:rPr>
        <w:t>(1</w:t>
      </w:r>
      <w:r w:rsidRPr="007A1EDB">
        <w:rPr>
          <w:sz w:val="20"/>
          <w:lang w:val="en-GB"/>
        </w:rPr>
        <w:t>)</w:t>
      </w:r>
      <w:r w:rsidRPr="007A1EDB">
        <w:rPr>
          <w:sz w:val="20"/>
          <w:lang w:val="en-GB"/>
        </w:rPr>
        <w:tab/>
        <w:t>Time charter equivalent rates, or TCE rates, are defined as our time charter revenues</w:t>
      </w:r>
      <w:r>
        <w:rPr>
          <w:sz w:val="20"/>
          <w:lang w:val="en-GB"/>
        </w:rPr>
        <w:t>, net,</w:t>
      </w:r>
      <w:r w:rsidRPr="007A1EDB">
        <w:rPr>
          <w:sz w:val="20"/>
          <w:lang w:val="en-GB"/>
        </w:rPr>
        <w:t xml:space="preserve"> less voyage expenses during a period divided by the number of our available days during the period, which is consistent with industry standards.  Voyage expenses include port charges, bunker (fuel) expenses, canal charges and commissions.  TCE is a non-GAAP measure.  TCE rate is a standard shipping industry performance measure used </w:t>
      </w:r>
      <w:r w:rsidRPr="007A1EDB">
        <w:rPr>
          <w:sz w:val="20"/>
          <w:szCs w:val="20"/>
          <w:lang w:val="en-GB"/>
        </w:rPr>
        <w:t>primarily to</w:t>
      </w:r>
      <w:r w:rsidRPr="007A1EDB">
        <w:rPr>
          <w:lang w:val="en-GB"/>
        </w:rPr>
        <w:t xml:space="preserve"> </w:t>
      </w:r>
      <w:r w:rsidRPr="007A1EDB">
        <w:rPr>
          <w:sz w:val="20"/>
          <w:szCs w:val="20"/>
          <w:lang w:val="en-GB"/>
        </w:rPr>
        <w:t>compare</w:t>
      </w:r>
      <w:r w:rsidRPr="007A1EDB">
        <w:rPr>
          <w:lang w:val="en-GB"/>
        </w:rPr>
        <w:t xml:space="preserve"> </w:t>
      </w:r>
      <w:r w:rsidRPr="007A1EDB">
        <w:rPr>
          <w:sz w:val="20"/>
          <w:szCs w:val="20"/>
          <w:lang w:val="en-GB"/>
        </w:rPr>
        <w:t>daily</w:t>
      </w:r>
      <w:r w:rsidRPr="007A1EDB">
        <w:rPr>
          <w:lang w:val="en-GB"/>
        </w:rPr>
        <w:t xml:space="preserve"> </w:t>
      </w:r>
      <w:r w:rsidRPr="007A1EDB">
        <w:rPr>
          <w:sz w:val="20"/>
          <w:lang w:val="en-GB"/>
        </w:rPr>
        <w:t xml:space="preserve">earnings generated by vessels on time charters with daily earnings generated by vessels on voyage charters, because charter hire rates for vessels on voyage charters are generally not expressed in per day amounts while charter hire rates for vessels on time charters are generally expressed in such amounts. </w:t>
      </w:r>
    </w:p>
    <w:p w:rsidR="00E87DA3" w:rsidRPr="007A1EDB" w:rsidRDefault="00E87DA3" w:rsidP="00E87DA3">
      <w:pPr>
        <w:pStyle w:val="Normal1"/>
        <w:tabs>
          <w:tab w:val="left" w:pos="0"/>
          <w:tab w:val="left" w:pos="216"/>
          <w:tab w:val="left" w:pos="432"/>
          <w:tab w:val="left" w:pos="648"/>
          <w:tab w:val="left" w:pos="864"/>
          <w:tab w:val="left" w:pos="1080"/>
          <w:tab w:val="left" w:pos="1296"/>
          <w:tab w:val="left" w:pos="1512"/>
          <w:tab w:val="left" w:pos="1728"/>
          <w:tab w:val="left" w:pos="1944"/>
        </w:tabs>
        <w:suppressAutoHyphens/>
        <w:spacing w:after="0" w:line="240" w:lineRule="auto"/>
        <w:jc w:val="both"/>
        <w:rPr>
          <w:sz w:val="20"/>
          <w:lang w:val="en-GB"/>
        </w:rPr>
      </w:pPr>
      <w:bookmarkStart w:id="0" w:name="_DV_M319"/>
      <w:bookmarkEnd w:id="0"/>
    </w:p>
    <w:p w:rsidR="00E87DA3" w:rsidRPr="007A1EDB" w:rsidRDefault="00E87DA3" w:rsidP="00E87DA3">
      <w:pPr>
        <w:pStyle w:val="Normal1"/>
        <w:tabs>
          <w:tab w:val="left" w:pos="-720"/>
          <w:tab w:val="left" w:pos="0"/>
        </w:tabs>
        <w:suppressAutoHyphens/>
        <w:spacing w:after="0" w:line="240" w:lineRule="auto"/>
        <w:ind w:left="720" w:hanging="720"/>
        <w:jc w:val="both"/>
        <w:rPr>
          <w:sz w:val="20"/>
          <w:lang w:val="en-GB"/>
        </w:rPr>
      </w:pPr>
      <w:bookmarkStart w:id="1" w:name="_DV_M320"/>
      <w:bookmarkEnd w:id="1"/>
      <w:r>
        <w:rPr>
          <w:sz w:val="20"/>
          <w:lang w:val="en-GB"/>
        </w:rPr>
        <w:t>(2</w:t>
      </w:r>
      <w:r w:rsidRPr="007A1EDB">
        <w:rPr>
          <w:sz w:val="20"/>
          <w:lang w:val="en-GB"/>
        </w:rPr>
        <w:t>)</w:t>
      </w:r>
      <w:r w:rsidRPr="007A1EDB">
        <w:rPr>
          <w:sz w:val="20"/>
          <w:lang w:val="en-GB"/>
        </w:rPr>
        <w:tab/>
        <w:t>Daily vessel operating expenses, which include crew wages and related costs, the cost of insurance</w:t>
      </w:r>
      <w:r>
        <w:rPr>
          <w:sz w:val="20"/>
          <w:lang w:val="en-GB"/>
        </w:rPr>
        <w:t xml:space="preserve"> and vessel registry</w:t>
      </w:r>
      <w:r w:rsidRPr="007A1EDB">
        <w:rPr>
          <w:sz w:val="20"/>
          <w:lang w:val="en-GB"/>
        </w:rPr>
        <w:t>, expenses relating to repairs and maintenance, the costs of spares and consumable stores,</w:t>
      </w:r>
      <w:r>
        <w:rPr>
          <w:sz w:val="20"/>
          <w:lang w:val="en-GB"/>
        </w:rPr>
        <w:t xml:space="preserve"> lubricant costs,</w:t>
      </w:r>
      <w:r w:rsidRPr="007A1EDB">
        <w:rPr>
          <w:sz w:val="20"/>
          <w:lang w:val="en-GB"/>
        </w:rPr>
        <w:t xml:space="preserve"> tonnage taxes</w:t>
      </w:r>
      <w:r>
        <w:rPr>
          <w:sz w:val="20"/>
          <w:lang w:val="en-GB"/>
        </w:rPr>
        <w:t>, regulatory fees, environmental costs</w:t>
      </w:r>
      <w:r w:rsidRPr="007A1EDB">
        <w:rPr>
          <w:sz w:val="20"/>
          <w:lang w:val="en-GB"/>
        </w:rPr>
        <w:t xml:space="preserve"> and other miscellaneous expenses, are calculated by dividing vessel operating </w:t>
      </w:r>
      <w:r w:rsidRPr="007A1EDB">
        <w:rPr>
          <w:sz w:val="20"/>
          <w:szCs w:val="20"/>
          <w:lang w:val="en-GB"/>
        </w:rPr>
        <w:t>expenses by ownership days for the relevant period</w:t>
      </w:r>
      <w:r w:rsidRPr="007A1EDB">
        <w:rPr>
          <w:sz w:val="20"/>
          <w:lang w:val="en-GB"/>
        </w:rPr>
        <w:t xml:space="preserve">. </w:t>
      </w:r>
    </w:p>
    <w:p w:rsidR="00E87DA3" w:rsidRPr="007A1EDB" w:rsidRDefault="00E87DA3" w:rsidP="00E87DA3"/>
    <w:p w:rsidR="00E87DA3" w:rsidRPr="00456147" w:rsidRDefault="00E87DA3" w:rsidP="00E87DA3">
      <w:pPr>
        <w:pStyle w:val="BodyText0"/>
        <w:tabs>
          <w:tab w:val="left" w:pos="540"/>
        </w:tabs>
        <w:rPr>
          <w:b/>
        </w:rPr>
      </w:pPr>
      <w:r w:rsidRPr="00456147">
        <w:rPr>
          <w:b/>
        </w:rPr>
        <w:t>Conference Call and Webcast Information</w:t>
      </w:r>
    </w:p>
    <w:p w:rsidR="00E87DA3" w:rsidRPr="00F46A55" w:rsidRDefault="00E87DA3" w:rsidP="00E87DA3">
      <w:pPr>
        <w:pStyle w:val="BodyText0"/>
        <w:tabs>
          <w:tab w:val="left" w:pos="540"/>
        </w:tabs>
        <w:jc w:val="both"/>
        <w:rPr>
          <w:lang w:val="en-GB"/>
        </w:rPr>
      </w:pPr>
    </w:p>
    <w:p w:rsidR="00E87DA3" w:rsidRPr="006301C5" w:rsidRDefault="00E87DA3" w:rsidP="00E87DA3">
      <w:pPr>
        <w:pStyle w:val="BodyText0"/>
        <w:tabs>
          <w:tab w:val="left" w:pos="540"/>
        </w:tabs>
        <w:jc w:val="both"/>
        <w:rPr>
          <w:lang w:val="en-GB"/>
        </w:rPr>
      </w:pPr>
      <w:r w:rsidRPr="0073635E">
        <w:rPr>
          <w:lang w:val="en-GB"/>
        </w:rPr>
        <w:t xml:space="preserve">The Company’s management will conduct a conference call and simultaneous Internet webcast to review these results at </w:t>
      </w:r>
      <w:r w:rsidRPr="006301C5">
        <w:rPr>
          <w:lang w:val="en-GB"/>
        </w:rPr>
        <w:t>9:00 A.M. (Eastern Time) on Monday, November 28, 2016.</w:t>
      </w:r>
    </w:p>
    <w:p w:rsidR="00E87DA3" w:rsidRPr="006301C5" w:rsidRDefault="00E87DA3" w:rsidP="00E87DA3">
      <w:pPr>
        <w:pStyle w:val="BodyText0"/>
        <w:tabs>
          <w:tab w:val="left" w:pos="540"/>
        </w:tabs>
        <w:jc w:val="both"/>
        <w:rPr>
          <w:lang w:val="en-GB"/>
        </w:rPr>
      </w:pPr>
      <w:r w:rsidRPr="006301C5">
        <w:rPr>
          <w:lang w:val="en-GB"/>
        </w:rPr>
        <w:t xml:space="preserve"> </w:t>
      </w:r>
    </w:p>
    <w:p w:rsidR="00E87DA3" w:rsidRPr="006301C5" w:rsidRDefault="00E87DA3" w:rsidP="00E87DA3">
      <w:pPr>
        <w:pStyle w:val="BodyText0"/>
        <w:tabs>
          <w:tab w:val="left" w:pos="540"/>
        </w:tabs>
        <w:jc w:val="both"/>
        <w:rPr>
          <w:lang w:val="en-GB"/>
        </w:rPr>
      </w:pPr>
      <w:r w:rsidRPr="006301C5">
        <w:rPr>
          <w:lang w:val="en-GB"/>
        </w:rPr>
        <w:t xml:space="preserve">Investors may access the webcast by visiting the Company’s website at www.dcontainerships.com, and clicking on the webcast link. The conference call also may be accessed by telephone by </w:t>
      </w:r>
      <w:proofErr w:type="spellStart"/>
      <w:r w:rsidRPr="006301C5">
        <w:rPr>
          <w:lang w:val="en-GB"/>
        </w:rPr>
        <w:t>dialing</w:t>
      </w:r>
      <w:proofErr w:type="spellEnd"/>
      <w:r w:rsidRPr="006301C5">
        <w:rPr>
          <w:lang w:val="en-GB"/>
        </w:rPr>
        <w:t xml:space="preserve"> 1-877-407-8029 (for U.S.-based callers) or 1-201-689-8029 (for international callers), and asking the operator for the Diana Containerships Inc. conference call.</w:t>
      </w:r>
    </w:p>
    <w:p w:rsidR="00E87DA3" w:rsidRPr="006301C5" w:rsidRDefault="00E87DA3" w:rsidP="00E87DA3">
      <w:pPr>
        <w:pStyle w:val="BodyText0"/>
        <w:tabs>
          <w:tab w:val="left" w:pos="540"/>
        </w:tabs>
        <w:jc w:val="both"/>
        <w:rPr>
          <w:lang w:val="en-GB"/>
        </w:rPr>
      </w:pPr>
    </w:p>
    <w:p w:rsidR="00E87DA3" w:rsidRPr="006301C5" w:rsidRDefault="00E87DA3" w:rsidP="00E87DA3">
      <w:pPr>
        <w:pStyle w:val="BodyText0"/>
        <w:tabs>
          <w:tab w:val="left" w:pos="540"/>
        </w:tabs>
        <w:jc w:val="both"/>
        <w:rPr>
          <w:lang w:val="en-GB"/>
        </w:rPr>
      </w:pPr>
      <w:r w:rsidRPr="006301C5">
        <w:rPr>
          <w:lang w:val="en-GB"/>
        </w:rPr>
        <w:t xml:space="preserve">A replay of the webcast will be available soon after the completion of the call and will be accessible for 30 days on www.dcontainerships.com. A telephone replay also will be available for 30 days by </w:t>
      </w:r>
      <w:proofErr w:type="spellStart"/>
      <w:r w:rsidRPr="006301C5">
        <w:rPr>
          <w:lang w:val="en-GB"/>
        </w:rPr>
        <w:t>dialing</w:t>
      </w:r>
      <w:proofErr w:type="spellEnd"/>
      <w:r w:rsidRPr="006301C5">
        <w:rPr>
          <w:lang w:val="en-GB"/>
        </w:rPr>
        <w:t xml:space="preserve"> 1-877-660-6853 (for U.S.-based callers) or 1-201-612-7415 (for international callers), and </w:t>
      </w:r>
      <w:r w:rsidRPr="006301C5">
        <w:rPr>
          <w:lang w:val="en-GB"/>
        </w:rPr>
        <w:lastRenderedPageBreak/>
        <w:t>providing the Replay ID number 13646685.</w:t>
      </w:r>
    </w:p>
    <w:p w:rsidR="00E87DA3" w:rsidRPr="00704D87" w:rsidRDefault="00E87DA3" w:rsidP="00E87DA3">
      <w:pPr>
        <w:pStyle w:val="BodyText0"/>
        <w:tabs>
          <w:tab w:val="left" w:pos="540"/>
        </w:tabs>
        <w:jc w:val="both"/>
      </w:pPr>
    </w:p>
    <w:p w:rsidR="00E87DA3" w:rsidRPr="00456147" w:rsidRDefault="00E87DA3" w:rsidP="00E87DA3">
      <w:pPr>
        <w:pStyle w:val="Normal01"/>
        <w:jc w:val="both"/>
        <w:rPr>
          <w:b/>
          <w:bCs/>
          <w:lang w:val="en-GB"/>
        </w:rPr>
      </w:pPr>
      <w:r w:rsidRPr="00456147">
        <w:rPr>
          <w:b/>
          <w:bCs/>
          <w:lang w:val="en-GB"/>
        </w:rPr>
        <w:t>About the Company</w:t>
      </w:r>
    </w:p>
    <w:p w:rsidR="00E87DA3" w:rsidRDefault="00E87DA3" w:rsidP="00E87DA3">
      <w:pPr>
        <w:pStyle w:val="BodyText0"/>
        <w:tabs>
          <w:tab w:val="left" w:pos="540"/>
        </w:tabs>
        <w:jc w:val="both"/>
        <w:rPr>
          <w:lang w:val="en-GB"/>
        </w:rPr>
      </w:pPr>
      <w:r w:rsidRPr="001157F1">
        <w:rPr>
          <w:lang w:val="en-GB"/>
        </w:rPr>
        <w:t xml:space="preserve">Diana Containerships Inc. is a global provider of shipping transportation services through its ownership of containerships. The Company’s vessels are employed primarily on time charters with leading liner companies carrying containerized cargo along worldwide shipping routes.  </w:t>
      </w:r>
    </w:p>
    <w:p w:rsidR="00E87DA3" w:rsidRPr="001157F1" w:rsidRDefault="00E87DA3" w:rsidP="00E87DA3">
      <w:pPr>
        <w:pStyle w:val="BodyText0"/>
        <w:tabs>
          <w:tab w:val="left" w:pos="540"/>
        </w:tabs>
        <w:jc w:val="both"/>
        <w:rPr>
          <w:lang w:val="en-GB"/>
        </w:rPr>
      </w:pPr>
    </w:p>
    <w:p w:rsidR="00E87DA3" w:rsidRPr="00456147" w:rsidRDefault="00E87DA3" w:rsidP="00E87DA3">
      <w:pPr>
        <w:pStyle w:val="BodyText0"/>
        <w:tabs>
          <w:tab w:val="left" w:pos="540"/>
        </w:tabs>
        <w:rPr>
          <w:b/>
        </w:rPr>
      </w:pPr>
      <w:r w:rsidRPr="00456147">
        <w:rPr>
          <w:b/>
        </w:rPr>
        <w:t>Cautionary Statement Regarding Forward-Looking Statements</w:t>
      </w:r>
    </w:p>
    <w:p w:rsidR="00E87DA3" w:rsidRPr="00456147" w:rsidRDefault="00E87DA3" w:rsidP="00E87DA3">
      <w:pPr>
        <w:pStyle w:val="BodyText0"/>
        <w:tabs>
          <w:tab w:val="left" w:pos="540"/>
        </w:tabs>
        <w:rPr>
          <w:b/>
        </w:rPr>
      </w:pPr>
    </w:p>
    <w:p w:rsidR="00E87DA3" w:rsidRPr="00456147" w:rsidRDefault="00E87DA3" w:rsidP="00E87DA3">
      <w:pPr>
        <w:pStyle w:val="BodyText0"/>
        <w:tabs>
          <w:tab w:val="left" w:pos="540"/>
        </w:tabs>
        <w:jc w:val="both"/>
        <w:rPr>
          <w:lang w:val="en-GB"/>
        </w:rPr>
      </w:pPr>
      <w:r w:rsidRPr="00456147">
        <w:rPr>
          <w:lang w:val="en-GB"/>
        </w:rPr>
        <w:t>Matters discussed in this press release may constitu</w:t>
      </w:r>
      <w:r>
        <w:rPr>
          <w:lang w:val="en-GB"/>
        </w:rPr>
        <w:t xml:space="preserve">te forward-looking statements. </w:t>
      </w:r>
      <w:r w:rsidRPr="00456147">
        <w:rPr>
          <w:lang w:val="en-GB"/>
        </w:rPr>
        <w:t xml:space="preserve">The Private Securities Litigation Reform Act of 1995 provides safe </w:t>
      </w:r>
      <w:proofErr w:type="spellStart"/>
      <w:r w:rsidRPr="00456147">
        <w:rPr>
          <w:lang w:val="en-GB"/>
        </w:rPr>
        <w:t>harbor</w:t>
      </w:r>
      <w:proofErr w:type="spellEnd"/>
      <w:r w:rsidRPr="00456147">
        <w:rPr>
          <w:lang w:val="en-GB"/>
        </w:rPr>
        <w:t xml:space="preserve"> protections for forward-looking statements in order to encourage companies to provide prospective inf</w:t>
      </w:r>
      <w:r>
        <w:rPr>
          <w:lang w:val="en-GB"/>
        </w:rPr>
        <w:t xml:space="preserve">ormation about their business. </w:t>
      </w:r>
      <w:r w:rsidRPr="00456147">
        <w:rPr>
          <w:lang w:val="en-GB"/>
        </w:rPr>
        <w:t>Forward-looking statements include statements concerning plans, objectives, goals, strategies, future events or performance, and underlying assumptions and other statements, which are other than statements of historical facts.</w:t>
      </w:r>
    </w:p>
    <w:p w:rsidR="00E87DA3" w:rsidRPr="00456147" w:rsidRDefault="00E87DA3" w:rsidP="00E87DA3">
      <w:pPr>
        <w:pStyle w:val="BodyText0"/>
        <w:tabs>
          <w:tab w:val="left" w:pos="540"/>
        </w:tabs>
        <w:jc w:val="both"/>
        <w:rPr>
          <w:lang w:val="en-GB"/>
        </w:rPr>
      </w:pPr>
    </w:p>
    <w:p w:rsidR="00E87DA3" w:rsidRPr="00456147" w:rsidRDefault="00E87DA3" w:rsidP="00E87DA3">
      <w:pPr>
        <w:pStyle w:val="BodyText0"/>
        <w:tabs>
          <w:tab w:val="left" w:pos="540"/>
        </w:tabs>
        <w:jc w:val="both"/>
        <w:rPr>
          <w:lang w:val="en-GB"/>
        </w:rPr>
      </w:pPr>
      <w:r w:rsidRPr="00456147">
        <w:rPr>
          <w:lang w:val="en-GB"/>
        </w:rPr>
        <w:t xml:space="preserve">The Company desires to take advantage of the safe </w:t>
      </w:r>
      <w:proofErr w:type="spellStart"/>
      <w:r w:rsidRPr="00456147">
        <w:rPr>
          <w:lang w:val="en-GB"/>
        </w:rPr>
        <w:t>harbor</w:t>
      </w:r>
      <w:proofErr w:type="spellEnd"/>
      <w:r w:rsidRPr="00456147">
        <w:rPr>
          <w:lang w:val="en-GB"/>
        </w:rPr>
        <w:t xml:space="preserve"> provisions of the Private Securities Litigation Reform Act of 1995 and is including this cautionary statement in connection with this safe </w:t>
      </w:r>
      <w:proofErr w:type="spellStart"/>
      <w:r w:rsidRPr="00456147">
        <w:rPr>
          <w:lang w:val="en-GB"/>
        </w:rPr>
        <w:t>harbor</w:t>
      </w:r>
      <w:proofErr w:type="spellEnd"/>
      <w:r w:rsidRPr="00456147">
        <w:rPr>
          <w:lang w:val="en-GB"/>
        </w:rPr>
        <w:t xml:space="preserve"> legislation. The words "believe," "anticipate," "intends," "estimate," "forecast," "project," "plan," "potential," "may," "should," "expect," "pending" and similar expressions identify forward-looking statements.</w:t>
      </w:r>
    </w:p>
    <w:p w:rsidR="00E87DA3" w:rsidRPr="00456147" w:rsidRDefault="00E87DA3" w:rsidP="00E87DA3">
      <w:pPr>
        <w:pStyle w:val="BodyText0"/>
        <w:tabs>
          <w:tab w:val="left" w:pos="540"/>
        </w:tabs>
        <w:jc w:val="both"/>
        <w:rPr>
          <w:lang w:val="en-GB"/>
        </w:rPr>
      </w:pPr>
    </w:p>
    <w:p w:rsidR="00E87DA3" w:rsidRPr="00456147" w:rsidRDefault="00E87DA3" w:rsidP="00E87DA3">
      <w:pPr>
        <w:pStyle w:val="BodyText0"/>
        <w:tabs>
          <w:tab w:val="left" w:pos="540"/>
        </w:tabs>
        <w:jc w:val="both"/>
        <w:rPr>
          <w:lang w:val="en-GB"/>
        </w:rPr>
      </w:pPr>
      <w:r w:rsidRPr="00456147">
        <w:rPr>
          <w:lang w:val="en-GB"/>
        </w:rPr>
        <w:t>The forward-looking statements in this press release are based upon various assumptions, many of which are based, in turn, upon further assumptions, including without limitation, our management's examination of historical operating trends, data contained in our records and other data available from third pa</w:t>
      </w:r>
      <w:r>
        <w:rPr>
          <w:lang w:val="en-GB"/>
        </w:rPr>
        <w:t xml:space="preserve">rties. </w:t>
      </w:r>
      <w:r w:rsidRPr="00456147">
        <w:rPr>
          <w:lang w:val="en-GB"/>
        </w:rPr>
        <w:t>Although we believe that these assumptions were reasonable when made, because these assumptions are inherently subject to significant uncertainties and contingencies which are difficult or impossible to predict and are beyond our control, we cannot assure you that we will achieve or accomplish these expectations, beliefs or projections.</w:t>
      </w:r>
    </w:p>
    <w:p w:rsidR="00E87DA3" w:rsidRPr="00456147" w:rsidRDefault="00E87DA3" w:rsidP="00E87DA3">
      <w:pPr>
        <w:pStyle w:val="BodyText0"/>
        <w:tabs>
          <w:tab w:val="left" w:pos="540"/>
        </w:tabs>
        <w:jc w:val="both"/>
        <w:rPr>
          <w:lang w:val="en-GB"/>
        </w:rPr>
      </w:pPr>
    </w:p>
    <w:p w:rsidR="00E87DA3" w:rsidRPr="00456147" w:rsidRDefault="00E87DA3" w:rsidP="00E87DA3">
      <w:pPr>
        <w:pStyle w:val="BodyText0"/>
        <w:tabs>
          <w:tab w:val="left" w:pos="540"/>
        </w:tabs>
        <w:jc w:val="both"/>
        <w:rPr>
          <w:lang w:val="en-GB"/>
        </w:rPr>
      </w:pPr>
      <w:r w:rsidRPr="00456147">
        <w:rPr>
          <w:lang w:val="en-GB"/>
        </w:rPr>
        <w:t xml:space="preserve">In addition to these important factors, other important factors that, in our view, could cause actual results to differ materially from those discussed in the forward-looking statements include the strength of world economies and currencies, general market conditions, including fluctuations in charter rates and vessel values, changes in demand for containership capacity, changes in our operating expenses, including bunker prices, </w:t>
      </w:r>
      <w:proofErr w:type="spellStart"/>
      <w:r w:rsidRPr="00456147">
        <w:rPr>
          <w:lang w:val="en-GB"/>
        </w:rPr>
        <w:t>drydocking</w:t>
      </w:r>
      <w:proofErr w:type="spellEnd"/>
      <w:r w:rsidRPr="00456147">
        <w:rPr>
          <w:lang w:val="en-GB"/>
        </w:rPr>
        <w:t xml:space="preserve"> and insurance costs, the market for our vessels, availability of financing and refinancing, changes in governmental rules and regulations or actions taken by regulatory authorities, potential liability from pending or future litigation, general domestic and international political conditions, potential disruption of shipping routes due to accide</w:t>
      </w:r>
      <w:r>
        <w:rPr>
          <w:lang w:val="en-GB"/>
        </w:rPr>
        <w:t>nts or political events, vessel</w:t>
      </w:r>
      <w:r w:rsidRPr="00456147">
        <w:rPr>
          <w:lang w:val="en-GB"/>
        </w:rPr>
        <w:t xml:space="preserve"> breakdowns and instances o</w:t>
      </w:r>
      <w:r>
        <w:rPr>
          <w:lang w:val="en-GB"/>
        </w:rPr>
        <w:t xml:space="preserve">f off-hires and other factors. </w:t>
      </w:r>
      <w:r w:rsidRPr="00456147">
        <w:rPr>
          <w:lang w:val="en-GB"/>
        </w:rPr>
        <w:t>Please see our filings with the Securities and Exchange Commission</w:t>
      </w:r>
      <w:bookmarkStart w:id="2" w:name="_DV_M9"/>
      <w:bookmarkEnd w:id="2"/>
      <w:r w:rsidRPr="00456147">
        <w:rPr>
          <w:lang w:val="en-GB"/>
        </w:rPr>
        <w:t xml:space="preserve"> for a more complete discussion of these and other risks and uncertainties.</w:t>
      </w:r>
    </w:p>
    <w:p w:rsidR="00E87DA3" w:rsidRPr="00456147" w:rsidRDefault="00E87DA3" w:rsidP="00E87DA3">
      <w:pPr>
        <w:pStyle w:val="BodyText0"/>
        <w:tabs>
          <w:tab w:val="left" w:pos="540"/>
        </w:tabs>
        <w:jc w:val="both"/>
        <w:rPr>
          <w:lang w:val="en-GB"/>
        </w:rPr>
      </w:pPr>
    </w:p>
    <w:p w:rsidR="00E87DA3" w:rsidRPr="00456147" w:rsidRDefault="00E87DA3" w:rsidP="00E87DA3">
      <w:pPr>
        <w:pStyle w:val="BodyText0"/>
        <w:tabs>
          <w:tab w:val="left" w:pos="540"/>
        </w:tabs>
        <w:jc w:val="center"/>
        <w:rPr>
          <w:lang w:val="en-GB"/>
        </w:rPr>
      </w:pPr>
      <w:r w:rsidRPr="00456147">
        <w:rPr>
          <w:lang w:val="en-GB"/>
        </w:rPr>
        <w:t>(See financial tables attached)</w:t>
      </w:r>
    </w:p>
    <w:p w:rsidR="00E87DA3" w:rsidRPr="00456147" w:rsidRDefault="00E87DA3" w:rsidP="00E87DA3">
      <w:pPr>
        <w:spacing w:line="4" w:lineRule="exact"/>
      </w:pPr>
      <w:r w:rsidRPr="0045614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3810"/>
        <w:gridCol w:w="250"/>
        <w:gridCol w:w="1440"/>
        <w:gridCol w:w="250"/>
        <w:gridCol w:w="1425"/>
        <w:gridCol w:w="250"/>
        <w:gridCol w:w="1440"/>
        <w:gridCol w:w="250"/>
        <w:gridCol w:w="1440"/>
      </w:tblGrid>
      <w:tr w:rsidR="00E87DA3" w:rsidTr="000E2CC5">
        <w:trPr>
          <w:trHeight w:val="300"/>
        </w:trPr>
        <w:tc>
          <w:tcPr>
            <w:tcW w:w="10485" w:type="dxa"/>
            <w:gridSpan w:val="10"/>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pPr>
            <w:r>
              <w:rPr>
                <w:b/>
                <w:color w:val="000000"/>
                <w:sz w:val="20"/>
              </w:rPr>
              <w:lastRenderedPageBreak/>
              <w:t>DIANA CONTAINERSHIPS INC.</w:t>
            </w:r>
          </w:p>
        </w:tc>
      </w:tr>
      <w:tr w:rsidR="00E87DA3" w:rsidTr="000E2CC5">
        <w:trPr>
          <w:trHeight w:val="300"/>
        </w:trPr>
        <w:tc>
          <w:tcPr>
            <w:tcW w:w="10485" w:type="dxa"/>
            <w:gridSpan w:val="10"/>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FINANCIAL TABLES</w:t>
            </w:r>
          </w:p>
        </w:tc>
      </w:tr>
      <w:tr w:rsidR="00E87DA3" w:rsidTr="000E2CC5">
        <w:trPr>
          <w:trHeight w:val="300"/>
        </w:trPr>
        <w:tc>
          <w:tcPr>
            <w:tcW w:w="10485" w:type="dxa"/>
            <w:gridSpan w:val="10"/>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color w:val="000000"/>
                <w:sz w:val="20"/>
              </w:rPr>
              <w:t>Expressed in thousands of U.S. Dollars, except for share and per share data</w:t>
            </w:r>
          </w:p>
        </w:tc>
      </w:tr>
      <w:tr w:rsidR="00E87DA3" w:rsidTr="000E2CC5">
        <w:trPr>
          <w:trHeight w:hRule="exac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42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r>
      <w:tr w:rsidR="00E87DA3" w:rsidTr="000E2CC5">
        <w:trPr>
          <w:trHeight w:val="300"/>
        </w:trPr>
        <w:tc>
          <w:tcPr>
            <w:tcW w:w="10485" w:type="dxa"/>
            <w:gridSpan w:val="10"/>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UNAUDITED INTERIM CONSOLIDATED STATEMENTS OF OPERATIONS</w:t>
            </w:r>
          </w:p>
        </w:tc>
      </w:tr>
      <w:tr w:rsidR="00E87DA3" w:rsidTr="000E2CC5">
        <w:trPr>
          <w:trHeight w:hRule="exac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142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r>
      <w:tr w:rsidR="00E87DA3" w:rsidTr="000E2CC5">
        <w:trPr>
          <w:trHeigh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3060" w:type="dxa"/>
            <w:gridSpan w:val="3"/>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For the three months ended September 30,</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3060" w:type="dxa"/>
            <w:gridSpan w:val="3"/>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For the nine months ended September 30,</w:t>
            </w:r>
          </w:p>
        </w:tc>
      </w:tr>
      <w:tr w:rsidR="00E87DA3" w:rsidTr="000E2CC5">
        <w:trPr>
          <w:trHeigh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144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2016</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425"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2015 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44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2016</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44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2015 </w:t>
            </w:r>
          </w:p>
        </w:tc>
      </w:tr>
      <w:tr w:rsidR="00E87DA3" w:rsidTr="000E2CC5">
        <w:trPr>
          <w:trHeight w:val="300"/>
        </w:trPr>
        <w:tc>
          <w:tcPr>
            <w:tcW w:w="3990" w:type="dxa"/>
            <w:gridSpan w:val="2"/>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b/>
                <w:color w:val="000000"/>
                <w:sz w:val="20"/>
              </w:rPr>
              <w:t>REVENUES:</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1440"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(unaudited)</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1425"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(unaudited)</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(unaudited)</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1440"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(unaudited)</w:t>
            </w:r>
          </w:p>
        </w:tc>
      </w:tr>
      <w:tr w:rsidR="00E87DA3" w:rsidTr="000E2CC5">
        <w:trPr>
          <w:trHeigh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b/>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Time charter revenues</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8,970 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w:t>
            </w:r>
          </w:p>
        </w:tc>
        <w:tc>
          <w:tcPr>
            <w:tcW w:w="142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18,430 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31,443 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54,130 </w:t>
            </w:r>
          </w:p>
        </w:tc>
      </w:tr>
      <w:tr w:rsidR="00E87DA3" w:rsidTr="000E2CC5">
        <w:trPr>
          <w:trHeigh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b/>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Prepaid charter revenue amortization</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(987)</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1425"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(2,359)</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(3,696)</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144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(6,841)</w:t>
            </w:r>
          </w:p>
        </w:tc>
      </w:tr>
      <w:tr w:rsidR="00E87DA3" w:rsidTr="000E2CC5">
        <w:trPr>
          <w:trHeigh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rPr>
            </w:pPr>
            <w:r>
              <w:rPr>
                <w:color w:val="000000"/>
                <w:sz w:val="20"/>
              </w:rPr>
              <w:t>Time charter revenues, net</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440" w:type="dxa"/>
            <w:tcBorders>
              <w:top w:val="single" w:sz="6" w:space="0" w:color="000000"/>
              <w:left w:val="nil"/>
              <w:bottom w:val="dashSmallGap"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7,983 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25" w:type="dxa"/>
            <w:tcBorders>
              <w:top w:val="single" w:sz="6" w:space="0" w:color="000000"/>
              <w:left w:val="nil"/>
              <w:bottom w:val="dashSmallGap"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16,071 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single" w:sz="6" w:space="0" w:color="000000"/>
              <w:left w:val="nil"/>
              <w:bottom w:val="dashSmallGap"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27,747 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single" w:sz="6" w:space="0" w:color="000000"/>
              <w:left w:val="nil"/>
              <w:bottom w:val="dashSmallGap"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47,289 </w:t>
            </w:r>
          </w:p>
        </w:tc>
      </w:tr>
      <w:tr w:rsidR="00E87DA3" w:rsidTr="000E2CC5">
        <w:trPr>
          <w:trHeight w:hRule="exact" w:val="105"/>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440" w:type="dxa"/>
            <w:tcBorders>
              <w:top w:val="dashSmallGap"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425" w:type="dxa"/>
            <w:tcBorders>
              <w:top w:val="dashSmallGap"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440" w:type="dxa"/>
            <w:tcBorders>
              <w:top w:val="dashSmallGap"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440" w:type="dxa"/>
            <w:tcBorders>
              <w:top w:val="dashSmallGap"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r>
      <w:tr w:rsidR="00E87DA3" w:rsidTr="000E2CC5">
        <w:trPr>
          <w:trHeight w:val="300"/>
        </w:trPr>
        <w:tc>
          <w:tcPr>
            <w:tcW w:w="3990" w:type="dxa"/>
            <w:gridSpan w:val="2"/>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b/>
                <w:color w:val="000000"/>
                <w:sz w:val="20"/>
              </w:rPr>
              <w:t>EXPENSES:</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2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r>
      <w:tr w:rsidR="00E87DA3" w:rsidTr="000E2CC5">
        <w:trPr>
          <w:trHeigh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Voyage expenses</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834 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2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949 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2,785 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1,566 </w:t>
            </w:r>
          </w:p>
        </w:tc>
      </w:tr>
      <w:tr w:rsidR="00E87DA3" w:rsidTr="000E2CC5">
        <w:trPr>
          <w:trHeigh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Vessel operating expenses</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7,918 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2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8,887 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24,696 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26,880 </w:t>
            </w:r>
          </w:p>
        </w:tc>
      </w:tr>
      <w:tr w:rsidR="00E87DA3" w:rsidTr="000E2CC5">
        <w:trPr>
          <w:trHeigh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Depreciation and amortization of deferred charges</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3,597 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2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3,376 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10,704 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9,521 </w:t>
            </w:r>
          </w:p>
        </w:tc>
      </w:tr>
      <w:tr w:rsidR="00E87DA3" w:rsidTr="000E2CC5">
        <w:trPr>
          <w:trHeigh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b/>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General and administrative expenses</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1,732 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2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1,535 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5,454 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4,386 </w:t>
            </w:r>
          </w:p>
        </w:tc>
      </w:tr>
      <w:tr w:rsidR="00E87DA3" w:rsidTr="000E2CC5">
        <w:trPr>
          <w:trHeigh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b/>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Impairment losses</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118,861 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2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118,861 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 </w:t>
            </w:r>
          </w:p>
        </w:tc>
      </w:tr>
      <w:tr w:rsidR="00E87DA3" w:rsidTr="000E2CC5">
        <w:trPr>
          <w:trHeigh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b/>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Loss on vessels' sale</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2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8,300 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497 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8,300 </w:t>
            </w:r>
          </w:p>
        </w:tc>
      </w:tr>
      <w:tr w:rsidR="00E87DA3" w:rsidTr="000E2CC5">
        <w:trPr>
          <w:trHeigh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Foreign currency losses / (gains)</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58 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25"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(32)</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143 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(87)</w:t>
            </w:r>
          </w:p>
        </w:tc>
      </w:tr>
      <w:tr w:rsidR="00E87DA3" w:rsidTr="000E2CC5">
        <w:trPr>
          <w:trHeigh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b/>
                <w:color w:val="000000"/>
                <w:sz w:val="20"/>
              </w:rPr>
              <w:t>Operating loss</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1440" w:type="dxa"/>
            <w:tcBorders>
              <w:top w:val="single" w:sz="6" w:space="0" w:color="000000"/>
              <w:left w:val="nil"/>
              <w:bottom w:val="dashSmallGap"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(125,017)</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25" w:type="dxa"/>
            <w:tcBorders>
              <w:top w:val="single" w:sz="6" w:space="0" w:color="000000"/>
              <w:left w:val="nil"/>
              <w:bottom w:val="dashSmallGap"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(6,944)</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single" w:sz="6" w:space="0" w:color="000000"/>
              <w:left w:val="nil"/>
              <w:bottom w:val="dashSmallGap"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(135,393)</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single" w:sz="6" w:space="0" w:color="000000"/>
              <w:left w:val="nil"/>
              <w:bottom w:val="dashSmallGap"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(3,277)</w:t>
            </w:r>
          </w:p>
        </w:tc>
      </w:tr>
      <w:tr w:rsidR="00E87DA3" w:rsidTr="000E2CC5">
        <w:trPr>
          <w:trHeight w:hRule="exact" w:val="105"/>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dashSmallGap"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25" w:type="dxa"/>
            <w:tcBorders>
              <w:top w:val="dashSmallGap"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dashSmallGap"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dashSmallGap"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r>
      <w:tr w:rsidR="00E87DA3" w:rsidTr="000E2CC5">
        <w:trPr>
          <w:trHeight w:val="300"/>
        </w:trPr>
        <w:tc>
          <w:tcPr>
            <w:tcW w:w="3990" w:type="dxa"/>
            <w:gridSpan w:val="2"/>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b/>
                <w:color w:val="000000"/>
                <w:sz w:val="20"/>
              </w:rPr>
              <w:t>OTHER INCOME / (EXPENSES):</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2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r>
      <w:tr w:rsidR="00E87DA3" w:rsidTr="000E2CC5">
        <w:trPr>
          <w:trHeigh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Interest and finance costs</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(1,792)</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2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(2,176)</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(5,259)</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(5,522)</w:t>
            </w:r>
          </w:p>
        </w:tc>
      </w:tr>
      <w:tr w:rsidR="00E87DA3" w:rsidTr="000E2CC5">
        <w:trPr>
          <w:trHeigh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Interest income</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31 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25"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24 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96 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91 </w:t>
            </w:r>
          </w:p>
        </w:tc>
      </w:tr>
      <w:tr w:rsidR="00E87DA3" w:rsidTr="000E2CC5">
        <w:trPr>
          <w:trHeigh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b/>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b/>
                <w:color w:val="000000"/>
                <w:sz w:val="20"/>
              </w:rPr>
              <w:t>Total other expenses, net</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1440" w:type="dxa"/>
            <w:tcBorders>
              <w:top w:val="single" w:sz="6" w:space="0" w:color="000000"/>
              <w:left w:val="nil"/>
              <w:bottom w:val="dashSmallGap"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(1,761)</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25" w:type="dxa"/>
            <w:tcBorders>
              <w:top w:val="single" w:sz="6" w:space="0" w:color="000000"/>
              <w:left w:val="nil"/>
              <w:bottom w:val="dashSmallGap"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(2,152)</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single" w:sz="6" w:space="0" w:color="000000"/>
              <w:left w:val="nil"/>
              <w:bottom w:val="dashSmallGap"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(5,163)</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single" w:sz="6" w:space="0" w:color="000000"/>
              <w:left w:val="nil"/>
              <w:bottom w:val="dashSmallGap"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(5,431)</w:t>
            </w:r>
          </w:p>
        </w:tc>
      </w:tr>
      <w:tr w:rsidR="00E87DA3" w:rsidTr="000E2CC5">
        <w:trPr>
          <w:trHeight w:hRule="exact" w:val="9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b/>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dashSmallGap"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25" w:type="dxa"/>
            <w:tcBorders>
              <w:top w:val="dashSmallGap"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dashSmallGap"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dashSmallGap"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r>
      <w:tr w:rsidR="00E87DA3" w:rsidTr="000E2CC5">
        <w:trPr>
          <w:trHeight w:val="300"/>
        </w:trPr>
        <w:tc>
          <w:tcPr>
            <w:tcW w:w="3990" w:type="dxa"/>
            <w:gridSpan w:val="2"/>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b/>
                <w:color w:val="000000"/>
                <w:sz w:val="20"/>
              </w:rPr>
              <w:t>Net loss</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b/>
                <w:color w:val="000000"/>
                <w:sz w:val="20"/>
              </w:rPr>
            </w:pPr>
            <w:r>
              <w:rPr>
                <w:color w:val="000000"/>
                <w:sz w:val="20"/>
              </w:rPr>
              <w:t>$</w:t>
            </w:r>
          </w:p>
        </w:tc>
        <w:tc>
          <w:tcPr>
            <w:tcW w:w="1440" w:type="dxa"/>
            <w:tcBorders>
              <w:top w:val="nil"/>
              <w:left w:val="nil"/>
              <w:bottom w:val="doub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(126,778)</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w:t>
            </w:r>
          </w:p>
        </w:tc>
        <w:tc>
          <w:tcPr>
            <w:tcW w:w="1425" w:type="dxa"/>
            <w:tcBorders>
              <w:top w:val="nil"/>
              <w:left w:val="nil"/>
              <w:bottom w:val="doub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(9,096)</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w:t>
            </w:r>
          </w:p>
        </w:tc>
        <w:tc>
          <w:tcPr>
            <w:tcW w:w="1440" w:type="dxa"/>
            <w:tcBorders>
              <w:top w:val="nil"/>
              <w:left w:val="nil"/>
              <w:bottom w:val="doub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(140,556)</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w:t>
            </w:r>
          </w:p>
        </w:tc>
        <w:tc>
          <w:tcPr>
            <w:tcW w:w="1440" w:type="dxa"/>
            <w:tcBorders>
              <w:top w:val="nil"/>
              <w:left w:val="nil"/>
              <w:bottom w:val="doub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(8,708)</w:t>
            </w:r>
          </w:p>
        </w:tc>
      </w:tr>
      <w:tr w:rsidR="00E87DA3" w:rsidTr="000E2CC5">
        <w:trPr>
          <w:trHeight w:hRule="exact" w:val="9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b/>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doub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25" w:type="dxa"/>
            <w:tcBorders>
              <w:top w:val="doub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doub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doub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r>
      <w:tr w:rsidR="00E87DA3" w:rsidTr="000E2CC5">
        <w:trPr>
          <w:trHeight w:val="300"/>
        </w:trPr>
        <w:tc>
          <w:tcPr>
            <w:tcW w:w="3990" w:type="dxa"/>
            <w:gridSpan w:val="2"/>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b/>
                <w:color w:val="000000"/>
                <w:sz w:val="20"/>
              </w:rPr>
              <w:t>Loss per common share, basic and diluted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b/>
                <w:color w:val="000000"/>
                <w:sz w:val="20"/>
              </w:rPr>
            </w:pPr>
            <w:r>
              <w:rPr>
                <w:color w:val="000000"/>
                <w:sz w:val="20"/>
              </w:rPr>
              <w:t>$</w:t>
            </w:r>
          </w:p>
        </w:tc>
        <w:tc>
          <w:tcPr>
            <w:tcW w:w="1440" w:type="dxa"/>
            <w:tcBorders>
              <w:top w:val="nil"/>
              <w:left w:val="nil"/>
              <w:bottom w:val="doub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(13.84)</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w:t>
            </w:r>
          </w:p>
        </w:tc>
        <w:tc>
          <w:tcPr>
            <w:tcW w:w="1425" w:type="dxa"/>
            <w:tcBorders>
              <w:top w:val="nil"/>
              <w:left w:val="nil"/>
              <w:bottom w:val="doub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(1.00)</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w:t>
            </w:r>
          </w:p>
        </w:tc>
        <w:tc>
          <w:tcPr>
            <w:tcW w:w="1440" w:type="dxa"/>
            <w:tcBorders>
              <w:top w:val="nil"/>
              <w:left w:val="nil"/>
              <w:bottom w:val="doub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(15.37)</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w:t>
            </w:r>
          </w:p>
        </w:tc>
        <w:tc>
          <w:tcPr>
            <w:tcW w:w="1440" w:type="dxa"/>
            <w:tcBorders>
              <w:top w:val="nil"/>
              <w:left w:val="nil"/>
              <w:bottom w:val="doub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(0.96)</w:t>
            </w:r>
          </w:p>
        </w:tc>
      </w:tr>
      <w:tr w:rsidR="00E87DA3" w:rsidTr="000E2CC5">
        <w:trPr>
          <w:trHeight w:hRule="exact" w:val="90"/>
        </w:trPr>
        <w:tc>
          <w:tcPr>
            <w:tcW w:w="3990" w:type="dxa"/>
            <w:gridSpan w:val="2"/>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440" w:type="dxa"/>
            <w:tcBorders>
              <w:top w:val="doub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425" w:type="dxa"/>
            <w:tcBorders>
              <w:top w:val="doub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440" w:type="dxa"/>
            <w:tcBorders>
              <w:top w:val="doub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440" w:type="dxa"/>
            <w:tcBorders>
              <w:top w:val="doub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r>
      <w:tr w:rsidR="00E87DA3" w:rsidTr="000E2CC5">
        <w:trPr>
          <w:trHeight w:val="300"/>
        </w:trPr>
        <w:tc>
          <w:tcPr>
            <w:tcW w:w="3990" w:type="dxa"/>
            <w:gridSpan w:val="2"/>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b/>
                <w:color w:val="000000"/>
                <w:sz w:val="20"/>
              </w:rPr>
              <w:t>Weighted average number of common shares, basic and diluted*</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b/>
                <w:color w:val="000000"/>
                <w:sz w:val="20"/>
              </w:rPr>
            </w:pPr>
            <w:r>
              <w:rPr>
                <w:color w:val="000000"/>
                <w:sz w:val="20"/>
              </w:rPr>
              <w:t xml:space="preserve"> </w:t>
            </w:r>
          </w:p>
        </w:tc>
        <w:tc>
          <w:tcPr>
            <w:tcW w:w="1440" w:type="dxa"/>
            <w:tcBorders>
              <w:top w:val="nil"/>
              <w:left w:val="nil"/>
              <w:bottom w:val="doub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9,160,297 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425" w:type="dxa"/>
            <w:tcBorders>
              <w:top w:val="nil"/>
              <w:left w:val="nil"/>
              <w:bottom w:val="doub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9,114,754 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440" w:type="dxa"/>
            <w:tcBorders>
              <w:top w:val="nil"/>
              <w:left w:val="nil"/>
              <w:bottom w:val="doub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9,147,309 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440" w:type="dxa"/>
            <w:tcBorders>
              <w:top w:val="nil"/>
              <w:left w:val="nil"/>
              <w:bottom w:val="doub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9,107,803 </w:t>
            </w:r>
          </w:p>
        </w:tc>
      </w:tr>
      <w:tr w:rsidR="00E87DA3" w:rsidTr="000E2CC5">
        <w:trPr>
          <w:trHeight w:hRule="exact" w:val="18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b/>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b/>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1440" w:type="dxa"/>
            <w:tcBorders>
              <w:top w:val="doub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1425" w:type="dxa"/>
            <w:tcBorders>
              <w:top w:val="doub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1440" w:type="dxa"/>
            <w:tcBorders>
              <w:top w:val="doub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1440" w:type="dxa"/>
            <w:tcBorders>
              <w:top w:val="doub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r>
      <w:tr w:rsidR="00E87DA3" w:rsidTr="000E2CC5">
        <w:trPr>
          <w:trHeigh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b/>
                <w:color w:val="000000"/>
                <w:sz w:val="20"/>
              </w:rPr>
              <w:t xml:space="preserve"> </w:t>
            </w:r>
          </w:p>
        </w:tc>
        <w:tc>
          <w:tcPr>
            <w:tcW w:w="10305" w:type="dxa"/>
            <w:gridSpan w:val="9"/>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Adjusted to give effect to the 1 for 8 reverse stock split that became effective on June 9, 2016.</w:t>
            </w:r>
          </w:p>
        </w:tc>
      </w:tr>
      <w:tr w:rsidR="00E87DA3" w:rsidTr="000E2CC5">
        <w:trPr>
          <w:trHeight w:hRule="exac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b/>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2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r>
      <w:tr w:rsidR="00E87DA3" w:rsidTr="000E2CC5">
        <w:trPr>
          <w:trHeight w:val="300"/>
        </w:trPr>
        <w:tc>
          <w:tcPr>
            <w:tcW w:w="10485" w:type="dxa"/>
            <w:gridSpan w:val="10"/>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UNAUDITED INTERIM CONSOLIDATED STATEMENTS OF COMPREHENSIVE LOSS</w:t>
            </w:r>
          </w:p>
        </w:tc>
      </w:tr>
      <w:tr w:rsidR="00E87DA3" w:rsidTr="000E2CC5">
        <w:trPr>
          <w:trHeight w:hRule="exac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42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r>
      <w:tr w:rsidR="00E87DA3" w:rsidTr="000E2CC5">
        <w:trPr>
          <w:trHeigh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3060" w:type="dxa"/>
            <w:gridSpan w:val="3"/>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For the three months ended September 30,</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3060" w:type="dxa"/>
            <w:gridSpan w:val="3"/>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For the nine months ended September 30,</w:t>
            </w:r>
          </w:p>
        </w:tc>
      </w:tr>
      <w:tr w:rsidR="00E87DA3" w:rsidTr="000E2CC5">
        <w:trPr>
          <w:trHeigh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2016</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425"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2015 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color w:val="000000"/>
                <w:sz w:val="20"/>
              </w:rPr>
              <w:t xml:space="preserve"> </w:t>
            </w:r>
          </w:p>
        </w:tc>
        <w:tc>
          <w:tcPr>
            <w:tcW w:w="144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2016</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44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2015 </w:t>
            </w:r>
          </w:p>
        </w:tc>
      </w:tr>
      <w:tr w:rsidR="00E87DA3" w:rsidTr="000E2CC5">
        <w:trPr>
          <w:trHeight w:val="24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(unaudited)</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1425"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(unaudited)</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(unaudited)</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1440"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(unaudited)</w:t>
            </w:r>
          </w:p>
        </w:tc>
      </w:tr>
      <w:tr w:rsidR="00E87DA3" w:rsidTr="000E2CC5">
        <w:trPr>
          <w:trHeight w:val="300"/>
        </w:trPr>
        <w:tc>
          <w:tcPr>
            <w:tcW w:w="3990" w:type="dxa"/>
            <w:gridSpan w:val="2"/>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b/>
                <w:color w:val="000000"/>
                <w:sz w:val="20"/>
              </w:rPr>
              <w:t>Net loss</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(126,778)</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w:t>
            </w:r>
          </w:p>
        </w:tc>
        <w:tc>
          <w:tcPr>
            <w:tcW w:w="142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(9,096)</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(140,556)</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(8,708)</w:t>
            </w:r>
          </w:p>
        </w:tc>
      </w:tr>
      <w:tr w:rsidR="00E87DA3" w:rsidTr="000E2CC5">
        <w:trPr>
          <w:trHeight w:hRule="exact" w:val="105"/>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25"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r>
      <w:tr w:rsidR="00E87DA3" w:rsidTr="000E2CC5">
        <w:trPr>
          <w:trHeight w:val="300"/>
        </w:trPr>
        <w:tc>
          <w:tcPr>
            <w:tcW w:w="3990" w:type="dxa"/>
            <w:gridSpan w:val="2"/>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b/>
                <w:color w:val="000000"/>
                <w:sz w:val="20"/>
              </w:rPr>
              <w:t>Comprehensive loss</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w:t>
            </w:r>
          </w:p>
        </w:tc>
        <w:tc>
          <w:tcPr>
            <w:tcW w:w="1440" w:type="dxa"/>
            <w:tcBorders>
              <w:top w:val="single" w:sz="6" w:space="0" w:color="000000"/>
              <w:left w:val="nil"/>
              <w:bottom w:val="doub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(126,778)</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w:t>
            </w:r>
          </w:p>
        </w:tc>
        <w:tc>
          <w:tcPr>
            <w:tcW w:w="1425" w:type="dxa"/>
            <w:tcBorders>
              <w:top w:val="single" w:sz="6" w:space="0" w:color="000000"/>
              <w:left w:val="nil"/>
              <w:bottom w:val="doub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(9,096)</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w:t>
            </w:r>
          </w:p>
        </w:tc>
        <w:tc>
          <w:tcPr>
            <w:tcW w:w="1440" w:type="dxa"/>
            <w:tcBorders>
              <w:top w:val="single" w:sz="6" w:space="0" w:color="000000"/>
              <w:left w:val="nil"/>
              <w:bottom w:val="doub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(140,556)</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w:t>
            </w:r>
          </w:p>
        </w:tc>
        <w:tc>
          <w:tcPr>
            <w:tcW w:w="1440" w:type="dxa"/>
            <w:tcBorders>
              <w:top w:val="single" w:sz="6" w:space="0" w:color="000000"/>
              <w:left w:val="nil"/>
              <w:bottom w:val="doub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(8,708)</w:t>
            </w:r>
          </w:p>
        </w:tc>
      </w:tr>
      <w:tr w:rsidR="00E87DA3" w:rsidTr="000E2CC5">
        <w:trPr>
          <w:trHeight w:hRule="exact" w:val="300"/>
        </w:trPr>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b/>
                <w:color w:val="000000"/>
                <w:sz w:val="20"/>
              </w:rPr>
              <w:t xml:space="preserve"> </w:t>
            </w:r>
          </w:p>
        </w:tc>
        <w:tc>
          <w:tcPr>
            <w:tcW w:w="381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b/>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color w:val="000000"/>
                <w:sz w:val="20"/>
              </w:rPr>
              <w:t xml:space="preserve"> </w:t>
            </w:r>
          </w:p>
        </w:tc>
        <w:tc>
          <w:tcPr>
            <w:tcW w:w="1440" w:type="dxa"/>
            <w:tcBorders>
              <w:top w:val="doub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1425" w:type="dxa"/>
            <w:tcBorders>
              <w:top w:val="doub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1440" w:type="dxa"/>
            <w:tcBorders>
              <w:top w:val="doub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1440" w:type="dxa"/>
            <w:tcBorders>
              <w:top w:val="doub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r>
    </w:tbl>
    <w:p w:rsidR="00E87DA3" w:rsidRPr="00456147" w:rsidRDefault="00E87DA3" w:rsidP="00E87DA3">
      <w:pPr>
        <w:spacing w:line="4" w:lineRule="exact"/>
      </w:pPr>
      <w:r w:rsidRPr="0045614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4650"/>
        <w:gridCol w:w="250"/>
        <w:gridCol w:w="2835"/>
        <w:gridCol w:w="250"/>
        <w:gridCol w:w="2835"/>
      </w:tblGrid>
      <w:tr w:rsidR="00E87DA3" w:rsidTr="000E2CC5">
        <w:trPr>
          <w:trHeight w:val="300"/>
        </w:trPr>
        <w:tc>
          <w:tcPr>
            <w:tcW w:w="7860" w:type="dxa"/>
            <w:gridSpan w:val="4"/>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pPr>
            <w:r>
              <w:rPr>
                <w:b/>
                <w:color w:val="000000"/>
                <w:sz w:val="20"/>
              </w:rPr>
              <w:lastRenderedPageBreak/>
              <w:t>CONDENSED CONSOLIDATED BALANCE SHEET DATA</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b/>
                <w:color w:val="000000"/>
                <w:sz w:val="20"/>
              </w:rPr>
            </w:pPr>
            <w:r>
              <w:rPr>
                <w:b/>
                <w:color w:val="000000"/>
                <w:sz w:val="20"/>
              </w:rPr>
              <w:t xml:space="preserve"> </w:t>
            </w:r>
          </w:p>
        </w:tc>
        <w:tc>
          <w:tcPr>
            <w:tcW w:w="283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b/>
                <w:color w:val="000000"/>
                <w:sz w:val="20"/>
              </w:rPr>
            </w:pPr>
            <w:r>
              <w:rPr>
                <w:b/>
                <w:color w:val="000000"/>
                <w:sz w:val="20"/>
              </w:rPr>
              <w:t xml:space="preserve"> </w:t>
            </w:r>
          </w:p>
        </w:tc>
      </w:tr>
      <w:tr w:rsidR="00E87DA3" w:rsidTr="000E2CC5">
        <w:trPr>
          <w:trHeight w:val="300"/>
        </w:trPr>
        <w:tc>
          <w:tcPr>
            <w:tcW w:w="7860" w:type="dxa"/>
            <w:gridSpan w:val="4"/>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(Expressed in thousands of US Dollars)</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283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r>
      <w:tr w:rsidR="00E87DA3" w:rsidTr="000E2CC5">
        <w:trPr>
          <w:trHeight w:val="300"/>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465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2835"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September 30, 2016</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color w:val="000000"/>
                <w:sz w:val="20"/>
              </w:rPr>
              <w:t xml:space="preserve"> </w:t>
            </w:r>
          </w:p>
        </w:tc>
        <w:tc>
          <w:tcPr>
            <w:tcW w:w="2835"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December 31, 2015**</w:t>
            </w:r>
          </w:p>
        </w:tc>
      </w:tr>
      <w:tr w:rsidR="00E87DA3" w:rsidTr="000E2CC5">
        <w:trPr>
          <w:trHeight w:val="300"/>
        </w:trPr>
        <w:tc>
          <w:tcPr>
            <w:tcW w:w="4845" w:type="dxa"/>
            <w:gridSpan w:val="2"/>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b/>
                <w:color w:val="000000"/>
                <w:sz w:val="20"/>
              </w:rPr>
            </w:pPr>
            <w:r>
              <w:rPr>
                <w:b/>
                <w:color w:val="000000"/>
                <w:sz w:val="20"/>
                <w:u w:val="single"/>
              </w:rPr>
              <w:t>ASSETS</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u w:val="single"/>
              </w:rPr>
            </w:pPr>
            <w:r>
              <w:rPr>
                <w:b/>
                <w:color w:val="000000"/>
                <w:sz w:val="20"/>
                <w:u w:val="single"/>
              </w:rPr>
              <w:t xml:space="preserve"> </w:t>
            </w:r>
          </w:p>
        </w:tc>
        <w:tc>
          <w:tcPr>
            <w:tcW w:w="2835"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u w:val="single"/>
              </w:rPr>
            </w:pPr>
            <w:r>
              <w:rPr>
                <w:color w:val="000000"/>
                <w:sz w:val="20"/>
              </w:rPr>
              <w:t>(unaudited)</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u w:val="single"/>
              </w:rPr>
              <w:t xml:space="preserve"> </w:t>
            </w:r>
          </w:p>
        </w:tc>
        <w:tc>
          <w:tcPr>
            <w:tcW w:w="2835"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u w:val="single"/>
              </w:rPr>
            </w:pPr>
            <w:r>
              <w:rPr>
                <w:color w:val="000000"/>
                <w:sz w:val="20"/>
              </w:rPr>
              <w:t xml:space="preserve"> </w:t>
            </w:r>
          </w:p>
        </w:tc>
      </w:tr>
      <w:tr w:rsidR="00E87DA3" w:rsidTr="000E2CC5">
        <w:trPr>
          <w:trHeight w:hRule="exact" w:val="300"/>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b/>
                <w:color w:val="000000"/>
                <w:sz w:val="20"/>
              </w:rPr>
              <w:t xml:space="preserve"> </w:t>
            </w:r>
          </w:p>
        </w:tc>
        <w:tc>
          <w:tcPr>
            <w:tcW w:w="465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b/>
                <w:color w:val="000000"/>
                <w:sz w:val="20"/>
              </w:rPr>
            </w:pPr>
            <w:r>
              <w:rPr>
                <w:b/>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283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b/>
                <w:color w:val="000000"/>
                <w:sz w:val="20"/>
              </w:rPr>
            </w:pPr>
            <w:r>
              <w:rPr>
                <w:b/>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283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b/>
                <w:color w:val="000000"/>
                <w:sz w:val="20"/>
              </w:rPr>
            </w:pPr>
            <w:r>
              <w:rPr>
                <w:b/>
                <w:color w:val="000000"/>
                <w:sz w:val="20"/>
              </w:rPr>
              <w:t xml:space="preserve"> </w:t>
            </w:r>
          </w:p>
        </w:tc>
      </w:tr>
      <w:tr w:rsidR="00E87DA3" w:rsidTr="000E2CC5">
        <w:trPr>
          <w:trHeight w:val="300"/>
        </w:trPr>
        <w:tc>
          <w:tcPr>
            <w:tcW w:w="4845" w:type="dxa"/>
            <w:gridSpan w:val="2"/>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b/>
                <w:color w:val="000000"/>
                <w:sz w:val="20"/>
              </w:rPr>
            </w:pPr>
            <w:r>
              <w:rPr>
                <w:color w:val="000000"/>
                <w:sz w:val="20"/>
              </w:rPr>
              <w:t xml:space="preserve"> Cash, cash equivalents and restricted cash</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w:t>
            </w:r>
          </w:p>
        </w:tc>
        <w:tc>
          <w:tcPr>
            <w:tcW w:w="283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16,614 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w:t>
            </w:r>
          </w:p>
        </w:tc>
        <w:tc>
          <w:tcPr>
            <w:tcW w:w="283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38,388 </w:t>
            </w:r>
          </w:p>
        </w:tc>
      </w:tr>
      <w:tr w:rsidR="00E87DA3" w:rsidTr="000E2CC5">
        <w:trPr>
          <w:trHeight w:val="300"/>
        </w:trPr>
        <w:tc>
          <w:tcPr>
            <w:tcW w:w="4845" w:type="dxa"/>
            <w:gridSpan w:val="2"/>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color w:val="000000"/>
                <w:sz w:val="20"/>
              </w:rPr>
              <w:t xml:space="preserve"> Vessels' net book value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283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b/>
                <w:color w:val="000000"/>
                <w:sz w:val="20"/>
              </w:rPr>
            </w:pPr>
            <w:r>
              <w:rPr>
                <w:color w:val="000000"/>
                <w:sz w:val="20"/>
              </w:rPr>
              <w:t>250,701 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283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b/>
                <w:color w:val="000000"/>
                <w:sz w:val="20"/>
              </w:rPr>
            </w:pPr>
            <w:r>
              <w:rPr>
                <w:color w:val="000000"/>
                <w:sz w:val="20"/>
              </w:rPr>
              <w:t>384,549 </w:t>
            </w:r>
          </w:p>
        </w:tc>
      </w:tr>
      <w:tr w:rsidR="00E87DA3" w:rsidTr="000E2CC5">
        <w:trPr>
          <w:trHeight w:val="300"/>
        </w:trPr>
        <w:tc>
          <w:tcPr>
            <w:tcW w:w="4845" w:type="dxa"/>
            <w:gridSpan w:val="2"/>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color w:val="000000"/>
                <w:sz w:val="20"/>
              </w:rPr>
              <w:t xml:space="preserve"> Other fixed assets, net</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283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b/>
                <w:color w:val="000000"/>
                <w:sz w:val="20"/>
              </w:rPr>
            </w:pPr>
            <w:r>
              <w:rPr>
                <w:color w:val="000000"/>
                <w:sz w:val="20"/>
              </w:rPr>
              <w:t>959 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283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b/>
                <w:color w:val="000000"/>
                <w:sz w:val="20"/>
              </w:rPr>
            </w:pPr>
            <w:r>
              <w:rPr>
                <w:color w:val="000000"/>
                <w:sz w:val="20"/>
              </w:rPr>
              <w:t>987 </w:t>
            </w:r>
          </w:p>
        </w:tc>
      </w:tr>
      <w:tr w:rsidR="00E87DA3" w:rsidTr="000E2CC5">
        <w:trPr>
          <w:trHeight w:val="300"/>
        </w:trPr>
        <w:tc>
          <w:tcPr>
            <w:tcW w:w="4845" w:type="dxa"/>
            <w:gridSpan w:val="2"/>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color w:val="000000"/>
                <w:sz w:val="20"/>
              </w:rPr>
              <w:t xml:space="preserve"> Prepaid charter revenue</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283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b/>
                <w:color w:val="000000"/>
                <w:sz w:val="20"/>
              </w:rPr>
            </w:pPr>
            <w:r>
              <w:rPr>
                <w:color w:val="000000"/>
                <w:sz w:val="20"/>
              </w:rPr>
              <w:t>102 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283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b/>
                <w:color w:val="000000"/>
                <w:sz w:val="20"/>
              </w:rPr>
            </w:pPr>
            <w:r>
              <w:rPr>
                <w:color w:val="000000"/>
                <w:sz w:val="20"/>
              </w:rPr>
              <w:t>3,798 </w:t>
            </w:r>
          </w:p>
        </w:tc>
      </w:tr>
      <w:tr w:rsidR="00E87DA3" w:rsidTr="000E2CC5">
        <w:trPr>
          <w:trHeight w:val="300"/>
        </w:trPr>
        <w:tc>
          <w:tcPr>
            <w:tcW w:w="4845" w:type="dxa"/>
            <w:gridSpan w:val="2"/>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color w:val="000000"/>
                <w:sz w:val="20"/>
              </w:rPr>
              <w:t xml:space="preserve"> Other assets</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2835"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b/>
                <w:color w:val="000000"/>
                <w:sz w:val="20"/>
              </w:rPr>
            </w:pPr>
            <w:r>
              <w:rPr>
                <w:color w:val="000000"/>
                <w:sz w:val="20"/>
              </w:rPr>
              <w:t>7,561 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2835"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b/>
                <w:color w:val="000000"/>
                <w:sz w:val="20"/>
              </w:rPr>
            </w:pPr>
            <w:r>
              <w:rPr>
                <w:color w:val="000000"/>
                <w:sz w:val="20"/>
              </w:rPr>
              <w:t>8,001 </w:t>
            </w:r>
          </w:p>
        </w:tc>
      </w:tr>
      <w:tr w:rsidR="00E87DA3" w:rsidTr="000E2CC5">
        <w:trPr>
          <w:trHeight w:val="300"/>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color w:val="000000"/>
                <w:sz w:val="20"/>
              </w:rPr>
              <w:t xml:space="preserve"> </w:t>
            </w:r>
          </w:p>
        </w:tc>
        <w:tc>
          <w:tcPr>
            <w:tcW w:w="465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b/>
                <w:color w:val="000000"/>
                <w:sz w:val="20"/>
              </w:rPr>
              <w:t xml:space="preserve">Total assets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color w:val="000000"/>
                <w:sz w:val="20"/>
              </w:rPr>
              <w:t>$</w:t>
            </w:r>
          </w:p>
        </w:tc>
        <w:tc>
          <w:tcPr>
            <w:tcW w:w="2835" w:type="dxa"/>
            <w:tcBorders>
              <w:top w:val="single" w:sz="6" w:space="0" w:color="000000"/>
              <w:left w:val="nil"/>
              <w:bottom w:val="doub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275,937 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w:t>
            </w:r>
          </w:p>
        </w:tc>
        <w:tc>
          <w:tcPr>
            <w:tcW w:w="2835" w:type="dxa"/>
            <w:tcBorders>
              <w:top w:val="single" w:sz="6" w:space="0" w:color="000000"/>
              <w:left w:val="nil"/>
              <w:bottom w:val="doub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435,723 </w:t>
            </w:r>
          </w:p>
        </w:tc>
      </w:tr>
      <w:tr w:rsidR="00E87DA3" w:rsidTr="000E2CC5">
        <w:trPr>
          <w:trHeight w:hRule="exact" w:val="300"/>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color w:val="000000"/>
                <w:sz w:val="20"/>
              </w:rPr>
              <w:t xml:space="preserve"> </w:t>
            </w:r>
          </w:p>
        </w:tc>
        <w:tc>
          <w:tcPr>
            <w:tcW w:w="465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b/>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color w:val="000000"/>
                <w:sz w:val="20"/>
              </w:rPr>
              <w:t xml:space="preserve"> </w:t>
            </w:r>
          </w:p>
        </w:tc>
        <w:tc>
          <w:tcPr>
            <w:tcW w:w="2835" w:type="dxa"/>
            <w:tcBorders>
              <w:top w:val="doub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2835" w:type="dxa"/>
            <w:tcBorders>
              <w:top w:val="doub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color w:val="000000"/>
                <w:sz w:val="20"/>
              </w:rPr>
              <w:t xml:space="preserve"> </w:t>
            </w:r>
          </w:p>
        </w:tc>
      </w:tr>
      <w:tr w:rsidR="00E87DA3" w:rsidTr="000E2CC5">
        <w:trPr>
          <w:trHeight w:val="300"/>
        </w:trPr>
        <w:tc>
          <w:tcPr>
            <w:tcW w:w="4845" w:type="dxa"/>
            <w:gridSpan w:val="2"/>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b/>
                <w:color w:val="000000"/>
                <w:sz w:val="20"/>
                <w:u w:val="single"/>
              </w:rPr>
              <w:t>LIABILITIES AND STOCKHOLDERS' EQUITY</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u w:val="single"/>
              </w:rPr>
            </w:pPr>
            <w:r>
              <w:rPr>
                <w:b/>
                <w:color w:val="000000"/>
                <w:sz w:val="20"/>
              </w:rPr>
              <w:t xml:space="preserve"> </w:t>
            </w:r>
          </w:p>
        </w:tc>
        <w:tc>
          <w:tcPr>
            <w:tcW w:w="283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b/>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283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b/>
                <w:color w:val="000000"/>
                <w:sz w:val="20"/>
              </w:rPr>
            </w:pPr>
            <w:r>
              <w:rPr>
                <w:color w:val="000000"/>
                <w:sz w:val="20"/>
              </w:rPr>
              <w:t xml:space="preserve"> </w:t>
            </w:r>
          </w:p>
        </w:tc>
      </w:tr>
      <w:tr w:rsidR="00E87DA3" w:rsidTr="000E2CC5">
        <w:trPr>
          <w:trHeight w:hRule="exact" w:val="300"/>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b/>
                <w:color w:val="000000"/>
                <w:sz w:val="20"/>
              </w:rPr>
              <w:t xml:space="preserve"> </w:t>
            </w:r>
          </w:p>
        </w:tc>
        <w:tc>
          <w:tcPr>
            <w:tcW w:w="465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b/>
                <w:color w:val="000000"/>
                <w:sz w:val="20"/>
              </w:rPr>
            </w:pPr>
            <w:r>
              <w:rPr>
                <w:b/>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283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b/>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283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b/>
                <w:color w:val="000000"/>
                <w:sz w:val="20"/>
              </w:rPr>
            </w:pPr>
            <w:r>
              <w:rPr>
                <w:color w:val="000000"/>
                <w:sz w:val="20"/>
              </w:rPr>
              <w:t xml:space="preserve"> </w:t>
            </w:r>
          </w:p>
        </w:tc>
      </w:tr>
      <w:tr w:rsidR="00E87DA3" w:rsidTr="000E2CC5">
        <w:trPr>
          <w:trHeight w:val="300"/>
        </w:trPr>
        <w:tc>
          <w:tcPr>
            <w:tcW w:w="4845" w:type="dxa"/>
            <w:gridSpan w:val="2"/>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color w:val="000000"/>
                <w:sz w:val="20"/>
              </w:rPr>
              <w:t xml:space="preserve"> Bank debt, net of unamortized deferred financing costs</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w:t>
            </w:r>
          </w:p>
        </w:tc>
        <w:tc>
          <w:tcPr>
            <w:tcW w:w="283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127,060 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w:t>
            </w:r>
          </w:p>
        </w:tc>
        <w:tc>
          <w:tcPr>
            <w:tcW w:w="283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142,678 </w:t>
            </w:r>
          </w:p>
        </w:tc>
      </w:tr>
      <w:tr w:rsidR="00E87DA3" w:rsidTr="000E2CC5">
        <w:trPr>
          <w:trHeight w:val="300"/>
        </w:trPr>
        <w:tc>
          <w:tcPr>
            <w:tcW w:w="4845" w:type="dxa"/>
            <w:gridSpan w:val="2"/>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color w:val="000000"/>
                <w:sz w:val="20"/>
              </w:rPr>
              <w:t xml:space="preserve"> Related party financing</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283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45,617 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283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48,950 </w:t>
            </w:r>
          </w:p>
        </w:tc>
      </w:tr>
      <w:tr w:rsidR="00E87DA3" w:rsidTr="000E2CC5">
        <w:trPr>
          <w:trHeight w:val="300"/>
        </w:trPr>
        <w:tc>
          <w:tcPr>
            <w:tcW w:w="4845" w:type="dxa"/>
            <w:gridSpan w:val="2"/>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color w:val="000000"/>
                <w:sz w:val="20"/>
              </w:rPr>
              <w:t xml:space="preserve"> Other liabilities</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283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4,180 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283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4,921 </w:t>
            </w:r>
          </w:p>
        </w:tc>
      </w:tr>
      <w:tr w:rsidR="00E87DA3" w:rsidTr="000E2CC5">
        <w:trPr>
          <w:trHeight w:val="300"/>
        </w:trPr>
        <w:tc>
          <w:tcPr>
            <w:tcW w:w="4845" w:type="dxa"/>
            <w:gridSpan w:val="2"/>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color w:val="000000"/>
                <w:sz w:val="20"/>
              </w:rPr>
              <w:t xml:space="preserve"> Total stockholders' equity</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2835"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99,080 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2835"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239,174 </w:t>
            </w:r>
          </w:p>
        </w:tc>
      </w:tr>
      <w:tr w:rsidR="00E87DA3" w:rsidTr="000E2CC5">
        <w:trPr>
          <w:trHeight w:val="300"/>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color w:val="000000"/>
                <w:sz w:val="20"/>
              </w:rPr>
              <w:t xml:space="preserve"> </w:t>
            </w:r>
          </w:p>
        </w:tc>
        <w:tc>
          <w:tcPr>
            <w:tcW w:w="465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b/>
                <w:color w:val="000000"/>
                <w:sz w:val="20"/>
              </w:rPr>
              <w:t xml:space="preserve">Total liabilities and stockholders' equity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color w:val="000000"/>
                <w:sz w:val="20"/>
              </w:rPr>
              <w:t>$</w:t>
            </w:r>
          </w:p>
        </w:tc>
        <w:tc>
          <w:tcPr>
            <w:tcW w:w="2835" w:type="dxa"/>
            <w:tcBorders>
              <w:top w:val="single" w:sz="6" w:space="0" w:color="000000"/>
              <w:left w:val="nil"/>
              <w:bottom w:val="doub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275,937 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w:t>
            </w:r>
          </w:p>
        </w:tc>
        <w:tc>
          <w:tcPr>
            <w:tcW w:w="2835" w:type="dxa"/>
            <w:tcBorders>
              <w:top w:val="single" w:sz="6" w:space="0" w:color="000000"/>
              <w:left w:val="nil"/>
              <w:bottom w:val="double" w:sz="6" w:space="0" w:color="000000"/>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435,723 </w:t>
            </w:r>
          </w:p>
        </w:tc>
      </w:tr>
      <w:tr w:rsidR="00E87DA3" w:rsidTr="000E2CC5">
        <w:trPr>
          <w:trHeight w:hRule="exact" w:val="300"/>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color w:val="000000"/>
                <w:sz w:val="20"/>
              </w:rPr>
              <w:t xml:space="preserve"> </w:t>
            </w:r>
          </w:p>
        </w:tc>
        <w:tc>
          <w:tcPr>
            <w:tcW w:w="465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b/>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color w:val="000000"/>
                <w:sz w:val="20"/>
              </w:rPr>
              <w:t xml:space="preserve"> </w:t>
            </w:r>
          </w:p>
        </w:tc>
        <w:tc>
          <w:tcPr>
            <w:tcW w:w="2835" w:type="dxa"/>
            <w:tcBorders>
              <w:top w:val="doub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2835" w:type="dxa"/>
            <w:tcBorders>
              <w:top w:val="doub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w:t>
            </w:r>
          </w:p>
        </w:tc>
      </w:tr>
      <w:tr w:rsidR="00E87DA3" w:rsidTr="000E2CC5">
        <w:trPr>
          <w:trHeight w:val="300"/>
        </w:trPr>
        <w:tc>
          <w:tcPr>
            <w:tcW w:w="10890" w:type="dxa"/>
            <w:gridSpan w:val="6"/>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The balance sheet data as of December 31, 2015 has been derived from the audited consolidated financial statements at that date.</w:t>
            </w:r>
          </w:p>
        </w:tc>
      </w:tr>
    </w:tbl>
    <w:p w:rsidR="00E87DA3" w:rsidRPr="00456147" w:rsidRDefault="00E87DA3" w:rsidP="00E87D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4050"/>
        <w:gridCol w:w="250"/>
        <w:gridCol w:w="1590"/>
        <w:gridCol w:w="250"/>
        <w:gridCol w:w="1590"/>
        <w:gridCol w:w="250"/>
        <w:gridCol w:w="1455"/>
        <w:gridCol w:w="250"/>
        <w:gridCol w:w="1440"/>
      </w:tblGrid>
      <w:tr w:rsidR="00E87DA3" w:rsidTr="000E2CC5">
        <w:trPr>
          <w:trHeight w:val="255"/>
        </w:trPr>
        <w:tc>
          <w:tcPr>
            <w:tcW w:w="7815" w:type="dxa"/>
            <w:gridSpan w:val="6"/>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r>
              <w:rPr>
                <w:b/>
                <w:color w:val="000000"/>
                <w:sz w:val="20"/>
              </w:rPr>
              <w:t>OTHER FINANCIAL DATA</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145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r>
      <w:tr w:rsidR="00E87DA3" w:rsidTr="000E2CC5">
        <w:trPr>
          <w:trHeight w:hRule="exact" w:val="300"/>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b/>
                <w:color w:val="000000"/>
                <w:sz w:val="20"/>
              </w:rPr>
              <w:t xml:space="preserve"> </w:t>
            </w:r>
          </w:p>
        </w:tc>
        <w:tc>
          <w:tcPr>
            <w:tcW w:w="405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b/>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b/>
                <w:color w:val="000000"/>
                <w:sz w:val="20"/>
              </w:rPr>
              <w:t xml:space="preserve"> </w:t>
            </w:r>
          </w:p>
        </w:tc>
        <w:tc>
          <w:tcPr>
            <w:tcW w:w="159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b/>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b/>
                <w:color w:val="000000"/>
                <w:sz w:val="20"/>
              </w:rPr>
              <w:t xml:space="preserve"> </w:t>
            </w:r>
          </w:p>
        </w:tc>
        <w:tc>
          <w:tcPr>
            <w:tcW w:w="159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b/>
                <w:color w:val="000000"/>
                <w:sz w:val="20"/>
              </w:rPr>
              <w:t xml:space="preserve">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145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b/>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b/>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b/>
                <w:color w:val="000000"/>
                <w:sz w:val="20"/>
              </w:rPr>
              <w:t xml:space="preserve"> </w:t>
            </w:r>
          </w:p>
        </w:tc>
      </w:tr>
      <w:tr w:rsidR="00E87DA3" w:rsidTr="000E2CC5">
        <w:trPr>
          <w:trHeight w:val="255"/>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405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3375" w:type="dxa"/>
            <w:gridSpan w:val="3"/>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For the three months ended September 30,</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3090" w:type="dxa"/>
            <w:gridSpan w:val="3"/>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For the nine months ended September 30,</w:t>
            </w:r>
          </w:p>
        </w:tc>
      </w:tr>
      <w:tr w:rsidR="00E87DA3" w:rsidTr="000E2CC5">
        <w:trPr>
          <w:trHeight w:val="255"/>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405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b/>
                <w:color w:val="000000"/>
                <w:sz w:val="20"/>
              </w:rPr>
              <w:t xml:space="preserve"> </w:t>
            </w:r>
          </w:p>
        </w:tc>
        <w:tc>
          <w:tcPr>
            <w:tcW w:w="159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2016 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59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2015 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455"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2016 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 xml:space="preserve"> </w:t>
            </w:r>
          </w:p>
        </w:tc>
        <w:tc>
          <w:tcPr>
            <w:tcW w:w="1440" w:type="dxa"/>
            <w:tcBorders>
              <w:top w:val="nil"/>
              <w:left w:val="nil"/>
              <w:bottom w:val="single" w:sz="6" w:space="0" w:color="000000"/>
              <w:right w:val="nil"/>
              <w:tl2br w:val="nil"/>
              <w:tr2bl w:val="nil"/>
            </w:tcBorders>
            <w:shd w:val="clear" w:color="auto" w:fill="FFFFFF"/>
            <w:tcMar>
              <w:left w:w="115" w:type="dxa"/>
              <w:right w:w="115" w:type="dxa"/>
            </w:tcMar>
            <w:vAlign w:val="bottom"/>
          </w:tcPr>
          <w:p w:rsidR="00E87DA3" w:rsidRDefault="00E87DA3" w:rsidP="000E2CC5">
            <w:pPr>
              <w:jc w:val="center"/>
              <w:rPr>
                <w:b/>
                <w:color w:val="000000"/>
                <w:sz w:val="20"/>
              </w:rPr>
            </w:pPr>
            <w:r>
              <w:rPr>
                <w:b/>
                <w:color w:val="000000"/>
                <w:sz w:val="20"/>
              </w:rPr>
              <w:t>2015 </w:t>
            </w:r>
          </w:p>
        </w:tc>
      </w:tr>
      <w:tr w:rsidR="00E87DA3" w:rsidTr="000E2CC5">
        <w:trPr>
          <w:trHeight w:val="255"/>
        </w:trPr>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b/>
                <w:color w:val="000000"/>
                <w:sz w:val="20"/>
              </w:rPr>
            </w:pPr>
            <w:r>
              <w:rPr>
                <w:color w:val="000000"/>
                <w:sz w:val="20"/>
              </w:rPr>
              <w:t xml:space="preserve"> </w:t>
            </w:r>
          </w:p>
        </w:tc>
        <w:tc>
          <w:tcPr>
            <w:tcW w:w="405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1590"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(unaudited)</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1590"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(unaudited)</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1455"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(unaudited)</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 xml:space="preserve"> </w:t>
            </w:r>
          </w:p>
        </w:tc>
        <w:tc>
          <w:tcPr>
            <w:tcW w:w="1440" w:type="dxa"/>
            <w:tcBorders>
              <w:top w:val="single" w:sz="6" w:space="0" w:color="000000"/>
              <w:left w:val="nil"/>
              <w:bottom w:val="nil"/>
              <w:right w:val="nil"/>
              <w:tl2br w:val="nil"/>
              <w:tr2bl w:val="nil"/>
            </w:tcBorders>
            <w:shd w:val="clear" w:color="auto" w:fill="FFFFFF"/>
            <w:tcMar>
              <w:left w:w="115" w:type="dxa"/>
              <w:right w:w="115" w:type="dxa"/>
            </w:tcMar>
            <w:vAlign w:val="bottom"/>
          </w:tcPr>
          <w:p w:rsidR="00E87DA3" w:rsidRDefault="00E87DA3" w:rsidP="000E2CC5">
            <w:pPr>
              <w:jc w:val="center"/>
              <w:rPr>
                <w:color w:val="000000"/>
                <w:sz w:val="20"/>
              </w:rPr>
            </w:pPr>
            <w:r>
              <w:rPr>
                <w:color w:val="000000"/>
                <w:sz w:val="20"/>
              </w:rPr>
              <w:t>(unaudited)</w:t>
            </w:r>
          </w:p>
        </w:tc>
      </w:tr>
      <w:tr w:rsidR="00E87DA3" w:rsidTr="000E2CC5">
        <w:trPr>
          <w:trHeight w:val="255"/>
        </w:trPr>
        <w:tc>
          <w:tcPr>
            <w:tcW w:w="4245" w:type="dxa"/>
            <w:gridSpan w:val="2"/>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color w:val="000000"/>
                <w:sz w:val="20"/>
              </w:rPr>
              <w:t xml:space="preserve"> Net Cash provided by / (used in) Operating Activities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w:t>
            </w:r>
          </w:p>
        </w:tc>
        <w:tc>
          <w:tcPr>
            <w:tcW w:w="159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(2,049)</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w:t>
            </w:r>
          </w:p>
        </w:tc>
        <w:tc>
          <w:tcPr>
            <w:tcW w:w="159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3,882 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w:t>
            </w:r>
          </w:p>
        </w:tc>
        <w:tc>
          <w:tcPr>
            <w:tcW w:w="145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(6,392)</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12,945 </w:t>
            </w:r>
          </w:p>
        </w:tc>
      </w:tr>
      <w:tr w:rsidR="00E87DA3" w:rsidTr="000E2CC5">
        <w:trPr>
          <w:trHeight w:val="255"/>
        </w:trPr>
        <w:tc>
          <w:tcPr>
            <w:tcW w:w="4245" w:type="dxa"/>
            <w:gridSpan w:val="2"/>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color w:val="000000"/>
                <w:sz w:val="20"/>
              </w:rPr>
              <w:t xml:space="preserve"> Net Cash provided by / (used in) Investing Activities</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59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(6)</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59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(33,995)</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5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4,301 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(76,974)</w:t>
            </w:r>
          </w:p>
        </w:tc>
      </w:tr>
      <w:tr w:rsidR="00E87DA3" w:rsidTr="000E2CC5">
        <w:trPr>
          <w:trHeight w:val="255"/>
        </w:trPr>
        <w:tc>
          <w:tcPr>
            <w:tcW w:w="4245" w:type="dxa"/>
            <w:gridSpan w:val="2"/>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both"/>
              <w:rPr>
                <w:color w:val="000000"/>
                <w:sz w:val="20"/>
              </w:rPr>
            </w:pPr>
            <w:r>
              <w:rPr>
                <w:color w:val="000000"/>
                <w:sz w:val="20"/>
              </w:rPr>
              <w:t xml:space="preserve"> Net Cash provided by/ (used in) Financing Activities </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59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(9,121)</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59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21,307 </w:t>
            </w:r>
          </w:p>
        </w:tc>
        <w:tc>
          <w:tcPr>
            <w:tcW w:w="18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5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(19,683)</w:t>
            </w:r>
          </w:p>
        </w:tc>
        <w:tc>
          <w:tcPr>
            <w:tcW w:w="195"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rPr>
                <w:color w:val="000000"/>
                <w:sz w:val="20"/>
              </w:rPr>
            </w:pPr>
            <w:r>
              <w:rPr>
                <w:color w:val="000000"/>
                <w:sz w:val="20"/>
              </w:rPr>
              <w:t xml:space="preserve"> </w:t>
            </w:r>
          </w:p>
        </w:tc>
        <w:tc>
          <w:tcPr>
            <w:tcW w:w="1440" w:type="dxa"/>
            <w:tcBorders>
              <w:top w:val="nil"/>
              <w:left w:val="nil"/>
              <w:bottom w:val="nil"/>
              <w:right w:val="nil"/>
              <w:tl2br w:val="nil"/>
              <w:tr2bl w:val="nil"/>
            </w:tcBorders>
            <w:shd w:val="clear" w:color="auto" w:fill="FFFFFF"/>
            <w:tcMar>
              <w:left w:w="115" w:type="dxa"/>
              <w:right w:w="115" w:type="dxa"/>
            </w:tcMar>
            <w:vAlign w:val="bottom"/>
          </w:tcPr>
          <w:p w:rsidR="00E87DA3" w:rsidRDefault="00E87DA3" w:rsidP="000E2CC5">
            <w:pPr>
              <w:jc w:val="right"/>
              <w:rPr>
                <w:color w:val="000000"/>
                <w:sz w:val="20"/>
              </w:rPr>
            </w:pPr>
            <w:r>
              <w:rPr>
                <w:color w:val="000000"/>
                <w:sz w:val="20"/>
              </w:rPr>
              <w:t xml:space="preserve"> 20,938 </w:t>
            </w:r>
          </w:p>
        </w:tc>
      </w:tr>
    </w:tbl>
    <w:p w:rsidR="00027BE7" w:rsidRDefault="00027BE7" w:rsidP="00E87DA3">
      <w:pPr>
        <w:pStyle w:val="NoSpacing"/>
      </w:pPr>
    </w:p>
    <w:p w:rsidR="00E87DA3" w:rsidRDefault="00E87DA3" w:rsidP="00E87DA3">
      <w:pPr>
        <w:pStyle w:val="NoSpacing"/>
      </w:pPr>
      <w:bookmarkStart w:id="3" w:name="_GoBack"/>
      <w:bookmarkEnd w:id="3"/>
    </w:p>
    <w:sectPr w:rsidR="00E87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A3"/>
    <w:rsid w:val="00002F07"/>
    <w:rsid w:val="00020460"/>
    <w:rsid w:val="00024DB5"/>
    <w:rsid w:val="00027BE7"/>
    <w:rsid w:val="000576A7"/>
    <w:rsid w:val="00060223"/>
    <w:rsid w:val="00060CE1"/>
    <w:rsid w:val="00063E9B"/>
    <w:rsid w:val="00074063"/>
    <w:rsid w:val="00085B88"/>
    <w:rsid w:val="00092761"/>
    <w:rsid w:val="00094653"/>
    <w:rsid w:val="000A7D0F"/>
    <w:rsid w:val="000B0592"/>
    <w:rsid w:val="000B2B9E"/>
    <w:rsid w:val="000B7514"/>
    <w:rsid w:val="000E0650"/>
    <w:rsid w:val="000F3B67"/>
    <w:rsid w:val="00102372"/>
    <w:rsid w:val="00105C15"/>
    <w:rsid w:val="0012339F"/>
    <w:rsid w:val="00126244"/>
    <w:rsid w:val="0013394A"/>
    <w:rsid w:val="00135DF3"/>
    <w:rsid w:val="001679EC"/>
    <w:rsid w:val="001733DF"/>
    <w:rsid w:val="00176659"/>
    <w:rsid w:val="00177400"/>
    <w:rsid w:val="001810B2"/>
    <w:rsid w:val="001872A5"/>
    <w:rsid w:val="001914B6"/>
    <w:rsid w:val="00191AC9"/>
    <w:rsid w:val="0019217E"/>
    <w:rsid w:val="001928DF"/>
    <w:rsid w:val="001972CA"/>
    <w:rsid w:val="001A154F"/>
    <w:rsid w:val="001A15F5"/>
    <w:rsid w:val="001A68C4"/>
    <w:rsid w:val="001D215F"/>
    <w:rsid w:val="001D30DB"/>
    <w:rsid w:val="001D72DD"/>
    <w:rsid w:val="001E1931"/>
    <w:rsid w:val="001F2C61"/>
    <w:rsid w:val="001F4D0D"/>
    <w:rsid w:val="00200C11"/>
    <w:rsid w:val="0021100A"/>
    <w:rsid w:val="00212D18"/>
    <w:rsid w:val="00217E90"/>
    <w:rsid w:val="002217BC"/>
    <w:rsid w:val="00230E94"/>
    <w:rsid w:val="00255716"/>
    <w:rsid w:val="00264EDE"/>
    <w:rsid w:val="0027142F"/>
    <w:rsid w:val="002737BF"/>
    <w:rsid w:val="002750F8"/>
    <w:rsid w:val="00275878"/>
    <w:rsid w:val="00283B87"/>
    <w:rsid w:val="002A2760"/>
    <w:rsid w:val="002B0600"/>
    <w:rsid w:val="002B1119"/>
    <w:rsid w:val="002C0F74"/>
    <w:rsid w:val="002D0F84"/>
    <w:rsid w:val="002D159F"/>
    <w:rsid w:val="002D2146"/>
    <w:rsid w:val="002E0A65"/>
    <w:rsid w:val="002E77C2"/>
    <w:rsid w:val="00300472"/>
    <w:rsid w:val="0030623C"/>
    <w:rsid w:val="00313089"/>
    <w:rsid w:val="00313960"/>
    <w:rsid w:val="0032223B"/>
    <w:rsid w:val="003228D9"/>
    <w:rsid w:val="00331DEF"/>
    <w:rsid w:val="00333374"/>
    <w:rsid w:val="003439A9"/>
    <w:rsid w:val="00343DBF"/>
    <w:rsid w:val="003530B3"/>
    <w:rsid w:val="0035678B"/>
    <w:rsid w:val="00373452"/>
    <w:rsid w:val="00381953"/>
    <w:rsid w:val="00382498"/>
    <w:rsid w:val="003825D2"/>
    <w:rsid w:val="0039658D"/>
    <w:rsid w:val="003A0EE2"/>
    <w:rsid w:val="003A30CB"/>
    <w:rsid w:val="003A4B9D"/>
    <w:rsid w:val="003A7E58"/>
    <w:rsid w:val="003B44ED"/>
    <w:rsid w:val="003B45CA"/>
    <w:rsid w:val="003B605A"/>
    <w:rsid w:val="003D5EDD"/>
    <w:rsid w:val="003E20BE"/>
    <w:rsid w:val="003F2619"/>
    <w:rsid w:val="00401DFD"/>
    <w:rsid w:val="00403FEB"/>
    <w:rsid w:val="004044B2"/>
    <w:rsid w:val="004251C8"/>
    <w:rsid w:val="00435CBF"/>
    <w:rsid w:val="00442F80"/>
    <w:rsid w:val="0044517D"/>
    <w:rsid w:val="00452BF3"/>
    <w:rsid w:val="004623DC"/>
    <w:rsid w:val="00477C3D"/>
    <w:rsid w:val="00481211"/>
    <w:rsid w:val="004A5A23"/>
    <w:rsid w:val="004B794E"/>
    <w:rsid w:val="004C1394"/>
    <w:rsid w:val="004C38AA"/>
    <w:rsid w:val="004D0D8B"/>
    <w:rsid w:val="004D5BEB"/>
    <w:rsid w:val="004D5E7D"/>
    <w:rsid w:val="004E343C"/>
    <w:rsid w:val="004E5C94"/>
    <w:rsid w:val="004E6DD3"/>
    <w:rsid w:val="004F3B04"/>
    <w:rsid w:val="004F4561"/>
    <w:rsid w:val="00500352"/>
    <w:rsid w:val="00503E95"/>
    <w:rsid w:val="00510B4E"/>
    <w:rsid w:val="0053762F"/>
    <w:rsid w:val="00540638"/>
    <w:rsid w:val="00551972"/>
    <w:rsid w:val="00556819"/>
    <w:rsid w:val="00564308"/>
    <w:rsid w:val="0056581F"/>
    <w:rsid w:val="005715AD"/>
    <w:rsid w:val="00584EA4"/>
    <w:rsid w:val="005A2BFB"/>
    <w:rsid w:val="005A488F"/>
    <w:rsid w:val="005B0FC7"/>
    <w:rsid w:val="005B17EF"/>
    <w:rsid w:val="005B3920"/>
    <w:rsid w:val="005B4ADE"/>
    <w:rsid w:val="005C1F18"/>
    <w:rsid w:val="005E0FD4"/>
    <w:rsid w:val="005E4082"/>
    <w:rsid w:val="005E44B0"/>
    <w:rsid w:val="005F62B5"/>
    <w:rsid w:val="00602C55"/>
    <w:rsid w:val="00625503"/>
    <w:rsid w:val="00625C5D"/>
    <w:rsid w:val="00650B64"/>
    <w:rsid w:val="00664CE1"/>
    <w:rsid w:val="0066558D"/>
    <w:rsid w:val="0066798F"/>
    <w:rsid w:val="00673C1E"/>
    <w:rsid w:val="0068077E"/>
    <w:rsid w:val="00683F14"/>
    <w:rsid w:val="006871F6"/>
    <w:rsid w:val="006A7FA5"/>
    <w:rsid w:val="006B52F4"/>
    <w:rsid w:val="006B5A3E"/>
    <w:rsid w:val="006B7008"/>
    <w:rsid w:val="006D3382"/>
    <w:rsid w:val="006E6B17"/>
    <w:rsid w:val="00707581"/>
    <w:rsid w:val="00710BD9"/>
    <w:rsid w:val="00711342"/>
    <w:rsid w:val="00724995"/>
    <w:rsid w:val="0073021A"/>
    <w:rsid w:val="00733BCE"/>
    <w:rsid w:val="00737AA8"/>
    <w:rsid w:val="00754571"/>
    <w:rsid w:val="007651F1"/>
    <w:rsid w:val="00782221"/>
    <w:rsid w:val="00783EC2"/>
    <w:rsid w:val="007855C3"/>
    <w:rsid w:val="00786D02"/>
    <w:rsid w:val="007961A3"/>
    <w:rsid w:val="007A41DC"/>
    <w:rsid w:val="007A54D9"/>
    <w:rsid w:val="007A65B8"/>
    <w:rsid w:val="007C0DA7"/>
    <w:rsid w:val="007C5A55"/>
    <w:rsid w:val="007D1AB3"/>
    <w:rsid w:val="007E1812"/>
    <w:rsid w:val="007E23E7"/>
    <w:rsid w:val="007F08A1"/>
    <w:rsid w:val="007F682C"/>
    <w:rsid w:val="00801368"/>
    <w:rsid w:val="0080289C"/>
    <w:rsid w:val="00802E49"/>
    <w:rsid w:val="00803189"/>
    <w:rsid w:val="00810429"/>
    <w:rsid w:val="0082153C"/>
    <w:rsid w:val="00824EC9"/>
    <w:rsid w:val="008316C7"/>
    <w:rsid w:val="00834CD7"/>
    <w:rsid w:val="00844830"/>
    <w:rsid w:val="00844BF5"/>
    <w:rsid w:val="00856C50"/>
    <w:rsid w:val="00862F40"/>
    <w:rsid w:val="008808C9"/>
    <w:rsid w:val="008922A0"/>
    <w:rsid w:val="008B3F9B"/>
    <w:rsid w:val="008C2081"/>
    <w:rsid w:val="008C2B3B"/>
    <w:rsid w:val="008D3254"/>
    <w:rsid w:val="008D7122"/>
    <w:rsid w:val="0091078D"/>
    <w:rsid w:val="0091665B"/>
    <w:rsid w:val="00920D24"/>
    <w:rsid w:val="00932F93"/>
    <w:rsid w:val="0093404C"/>
    <w:rsid w:val="00935842"/>
    <w:rsid w:val="00954BAA"/>
    <w:rsid w:val="00955303"/>
    <w:rsid w:val="0096599F"/>
    <w:rsid w:val="00991404"/>
    <w:rsid w:val="009A0370"/>
    <w:rsid w:val="009C5A69"/>
    <w:rsid w:val="009D4A55"/>
    <w:rsid w:val="009E09CD"/>
    <w:rsid w:val="009E6481"/>
    <w:rsid w:val="009E68F3"/>
    <w:rsid w:val="009E746B"/>
    <w:rsid w:val="00A01BD2"/>
    <w:rsid w:val="00A0697C"/>
    <w:rsid w:val="00A14A2F"/>
    <w:rsid w:val="00A1513C"/>
    <w:rsid w:val="00A25851"/>
    <w:rsid w:val="00A5776C"/>
    <w:rsid w:val="00A61418"/>
    <w:rsid w:val="00A66E6D"/>
    <w:rsid w:val="00A725FA"/>
    <w:rsid w:val="00A754B2"/>
    <w:rsid w:val="00A860CB"/>
    <w:rsid w:val="00AA7668"/>
    <w:rsid w:val="00AB1404"/>
    <w:rsid w:val="00AB7B10"/>
    <w:rsid w:val="00AC2AC5"/>
    <w:rsid w:val="00AC5319"/>
    <w:rsid w:val="00AC55C7"/>
    <w:rsid w:val="00AD60AD"/>
    <w:rsid w:val="00AD70DB"/>
    <w:rsid w:val="00AE09AB"/>
    <w:rsid w:val="00AE65F7"/>
    <w:rsid w:val="00AF4D23"/>
    <w:rsid w:val="00B11DFB"/>
    <w:rsid w:val="00B35E5C"/>
    <w:rsid w:val="00B4332F"/>
    <w:rsid w:val="00B471CC"/>
    <w:rsid w:val="00B515A7"/>
    <w:rsid w:val="00B703E5"/>
    <w:rsid w:val="00B84BB2"/>
    <w:rsid w:val="00B90BC9"/>
    <w:rsid w:val="00B950E3"/>
    <w:rsid w:val="00BA6398"/>
    <w:rsid w:val="00BC4310"/>
    <w:rsid w:val="00BD70A0"/>
    <w:rsid w:val="00BE45AF"/>
    <w:rsid w:val="00BE5B80"/>
    <w:rsid w:val="00BF229C"/>
    <w:rsid w:val="00BF748E"/>
    <w:rsid w:val="00BF7AD7"/>
    <w:rsid w:val="00C015CA"/>
    <w:rsid w:val="00C027BD"/>
    <w:rsid w:val="00C2174D"/>
    <w:rsid w:val="00C22DCC"/>
    <w:rsid w:val="00C23656"/>
    <w:rsid w:val="00C4657F"/>
    <w:rsid w:val="00C61F37"/>
    <w:rsid w:val="00C66AD1"/>
    <w:rsid w:val="00C81120"/>
    <w:rsid w:val="00C832F7"/>
    <w:rsid w:val="00C841BA"/>
    <w:rsid w:val="00C9165C"/>
    <w:rsid w:val="00CA1809"/>
    <w:rsid w:val="00CA7E17"/>
    <w:rsid w:val="00CB234F"/>
    <w:rsid w:val="00CC4EF0"/>
    <w:rsid w:val="00CC564C"/>
    <w:rsid w:val="00CD0599"/>
    <w:rsid w:val="00CD31D8"/>
    <w:rsid w:val="00CF698A"/>
    <w:rsid w:val="00D00464"/>
    <w:rsid w:val="00D03EE0"/>
    <w:rsid w:val="00D051D5"/>
    <w:rsid w:val="00D24D93"/>
    <w:rsid w:val="00D24F86"/>
    <w:rsid w:val="00D25EDB"/>
    <w:rsid w:val="00D4783E"/>
    <w:rsid w:val="00D53FE8"/>
    <w:rsid w:val="00D55D8B"/>
    <w:rsid w:val="00D57D46"/>
    <w:rsid w:val="00D57F25"/>
    <w:rsid w:val="00D650EC"/>
    <w:rsid w:val="00D65D31"/>
    <w:rsid w:val="00D71A97"/>
    <w:rsid w:val="00D72FAE"/>
    <w:rsid w:val="00D74845"/>
    <w:rsid w:val="00D75C5A"/>
    <w:rsid w:val="00D80C63"/>
    <w:rsid w:val="00D81BB9"/>
    <w:rsid w:val="00D85FEF"/>
    <w:rsid w:val="00D9141C"/>
    <w:rsid w:val="00D97EF8"/>
    <w:rsid w:val="00DA418E"/>
    <w:rsid w:val="00DB2745"/>
    <w:rsid w:val="00DB5698"/>
    <w:rsid w:val="00DB62FA"/>
    <w:rsid w:val="00DC221D"/>
    <w:rsid w:val="00DD02A9"/>
    <w:rsid w:val="00DD11EC"/>
    <w:rsid w:val="00DD5192"/>
    <w:rsid w:val="00DD7AB1"/>
    <w:rsid w:val="00DE6570"/>
    <w:rsid w:val="00E24D67"/>
    <w:rsid w:val="00E31F83"/>
    <w:rsid w:val="00E3710F"/>
    <w:rsid w:val="00E3748E"/>
    <w:rsid w:val="00E41CA9"/>
    <w:rsid w:val="00E454C9"/>
    <w:rsid w:val="00E55238"/>
    <w:rsid w:val="00E7536E"/>
    <w:rsid w:val="00E87DA3"/>
    <w:rsid w:val="00E915E6"/>
    <w:rsid w:val="00E92384"/>
    <w:rsid w:val="00E927E0"/>
    <w:rsid w:val="00EC08EF"/>
    <w:rsid w:val="00EC4173"/>
    <w:rsid w:val="00EC643E"/>
    <w:rsid w:val="00ED1ACF"/>
    <w:rsid w:val="00EE5CD3"/>
    <w:rsid w:val="00EF5295"/>
    <w:rsid w:val="00EF5DE1"/>
    <w:rsid w:val="00F00A54"/>
    <w:rsid w:val="00F02DE7"/>
    <w:rsid w:val="00F06AD5"/>
    <w:rsid w:val="00F10E20"/>
    <w:rsid w:val="00F170BD"/>
    <w:rsid w:val="00F2595B"/>
    <w:rsid w:val="00F61D3F"/>
    <w:rsid w:val="00F6509F"/>
    <w:rsid w:val="00FB17ED"/>
    <w:rsid w:val="00FD4056"/>
    <w:rsid w:val="00FF4222"/>
    <w:rsid w:val="00FF4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F40A4-E097-463E-A42D-219F08EB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DA3"/>
    <w:pPr>
      <w:spacing w:after="0" w:line="240" w:lineRule="auto"/>
    </w:pPr>
    <w:rPr>
      <w:rFonts w:ascii="Calibri" w:eastAsia="Calibri" w:hAnsi="Calibri" w:cs="Calibr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DA3"/>
    <w:pPr>
      <w:spacing w:after="0" w:line="240" w:lineRule="auto"/>
    </w:pPr>
  </w:style>
  <w:style w:type="paragraph" w:styleId="BodyText">
    <w:name w:val="Body Text"/>
    <w:basedOn w:val="Normal0"/>
    <w:link w:val="BodyTextChar"/>
    <w:uiPriority w:val="99"/>
    <w:semiHidden/>
    <w:unhideWhenUsed/>
    <w:rsid w:val="00E87DA3"/>
    <w:pPr>
      <w:widowControl w:val="0"/>
      <w:autoSpaceDE w:val="0"/>
      <w:autoSpaceDN w:val="0"/>
      <w:adjustRightInd w:val="0"/>
      <w:spacing w:after="0" w:line="240" w:lineRule="auto"/>
    </w:pPr>
    <w:rPr>
      <w:lang w:val="en-US"/>
    </w:rPr>
  </w:style>
  <w:style w:type="character" w:customStyle="1" w:styleId="BodyTextChar">
    <w:name w:val="Body Text Char"/>
    <w:basedOn w:val="DefaultParagraphFont"/>
    <w:link w:val="BodyText"/>
    <w:uiPriority w:val="99"/>
    <w:semiHidden/>
    <w:rsid w:val="00E87DA3"/>
    <w:rPr>
      <w:rFonts w:ascii="Calibri" w:eastAsia="Calibri" w:hAnsi="Calibri" w:cs="Calibri"/>
      <w:lang w:val="en-US"/>
    </w:rPr>
  </w:style>
  <w:style w:type="paragraph" w:customStyle="1" w:styleId="Normal0">
    <w:name w:val="Normal_0"/>
    <w:qFormat/>
    <w:rsid w:val="00E87DA3"/>
    <w:pPr>
      <w:spacing w:after="200" w:line="276" w:lineRule="auto"/>
    </w:pPr>
    <w:rPr>
      <w:rFonts w:ascii="Calibri" w:eastAsia="Calibri" w:hAnsi="Calibri" w:cs="Calibri"/>
      <w:lang w:val="el-GR"/>
    </w:rPr>
  </w:style>
  <w:style w:type="character" w:styleId="Hyperlink">
    <w:name w:val="Hyperlink"/>
    <w:uiPriority w:val="99"/>
    <w:unhideWhenUsed/>
    <w:rsid w:val="00E87DA3"/>
    <w:rPr>
      <w:rFonts w:ascii="Times New Roman" w:eastAsia="Calibri" w:hAnsi="Times New Roman" w:cs="Times New Roman" w:hint="default"/>
      <w:color w:val="0000FF"/>
      <w:u w:val="single"/>
    </w:rPr>
  </w:style>
  <w:style w:type="paragraph" w:customStyle="1" w:styleId="Normal00">
    <w:name w:val="Normal_0_0"/>
    <w:qFormat/>
    <w:rsid w:val="00E87DA3"/>
    <w:pPr>
      <w:spacing w:after="200" w:line="276" w:lineRule="auto"/>
    </w:pPr>
    <w:rPr>
      <w:rFonts w:ascii="Calibri" w:eastAsia="Calibri" w:hAnsi="Calibri" w:cs="Calibri"/>
      <w:lang w:val="en-US"/>
    </w:rPr>
  </w:style>
  <w:style w:type="paragraph" w:customStyle="1" w:styleId="Normal1">
    <w:name w:val="Normal_1"/>
    <w:qFormat/>
    <w:rsid w:val="00E87DA3"/>
    <w:pPr>
      <w:spacing w:after="200" w:line="276" w:lineRule="auto"/>
    </w:pPr>
    <w:rPr>
      <w:rFonts w:ascii="Calibri" w:eastAsia="Calibri" w:hAnsi="Calibri" w:cs="Calibri"/>
      <w:lang w:val="en-US"/>
    </w:rPr>
  </w:style>
  <w:style w:type="paragraph" w:customStyle="1" w:styleId="BodyText0">
    <w:name w:val="Body Text_0"/>
    <w:basedOn w:val="Normal2"/>
    <w:link w:val="BodyTextChar0"/>
    <w:unhideWhenUsed/>
    <w:rsid w:val="00E87DA3"/>
    <w:pPr>
      <w:widowControl w:val="0"/>
      <w:autoSpaceDE w:val="0"/>
      <w:autoSpaceDN w:val="0"/>
      <w:adjustRightInd w:val="0"/>
      <w:spacing w:after="0" w:line="240" w:lineRule="auto"/>
    </w:pPr>
    <w:rPr>
      <w:rFonts w:ascii="Calibri" w:eastAsia="Calibri" w:hAnsi="Calibri" w:cs="Calibri"/>
      <w:lang w:val="en-US"/>
    </w:rPr>
  </w:style>
  <w:style w:type="paragraph" w:customStyle="1" w:styleId="Normal2">
    <w:name w:val="Normal_2"/>
    <w:qFormat/>
    <w:rsid w:val="00E87DA3"/>
    <w:pPr>
      <w:spacing w:after="200" w:line="276" w:lineRule="auto"/>
    </w:pPr>
    <w:rPr>
      <w:rFonts w:ascii="Times New Roman" w:eastAsia="Times New Roman" w:hAnsi="Times New Roman" w:cs="Times New Roman"/>
      <w:lang w:val="el-GR"/>
    </w:rPr>
  </w:style>
  <w:style w:type="character" w:customStyle="1" w:styleId="BodyTextChar0">
    <w:name w:val="Body Text Char_0"/>
    <w:link w:val="BodyText0"/>
    <w:rsid w:val="00E87DA3"/>
    <w:rPr>
      <w:rFonts w:ascii="Calibri" w:eastAsia="Calibri" w:hAnsi="Calibri" w:cs="Calibri"/>
      <w:lang w:val="en-US"/>
    </w:rPr>
  </w:style>
  <w:style w:type="paragraph" w:customStyle="1" w:styleId="Normal01">
    <w:name w:val="Normal_0_1"/>
    <w:uiPriority w:val="99"/>
    <w:qFormat/>
    <w:rsid w:val="00E87DA3"/>
    <w:pPr>
      <w:spacing w:after="200" w:line="276" w:lineRule="auto"/>
    </w:pPr>
    <w:rPr>
      <w:rFonts w:ascii="Calibri" w:eastAsia="Calibri" w:hAnsi="Calibri" w:cs="Calibri"/>
      <w:lang w:val="en-US"/>
    </w:rPr>
  </w:style>
  <w:style w:type="paragraph" w:customStyle="1" w:styleId="MyLastParagraph">
    <w:name w:val="MyLastParagraph"/>
    <w:rsid w:val="00E87DA3"/>
    <w:pPr>
      <w:spacing w:after="0" w:line="240" w:lineRule="auto"/>
    </w:pPr>
    <w:rPr>
      <w:rFonts w:ascii="Times New Roman" w:eastAsia="Times New Roman" w:hAnsi="Times New Roman" w:cs="Times New Roman"/>
      <w:sz w:val="4"/>
      <w:szCs w:val="20"/>
      <w:lang w:val="en-US"/>
    </w:rPr>
  </w:style>
  <w:style w:type="paragraph" w:styleId="BalloonText">
    <w:name w:val="Balloon Text"/>
    <w:basedOn w:val="Normal"/>
    <w:link w:val="BalloonTextChar"/>
    <w:rsid w:val="00E87DA3"/>
    <w:rPr>
      <w:rFonts w:ascii="Tahoma" w:hAnsi="Tahoma" w:cs="Tahoma"/>
      <w:sz w:val="16"/>
      <w:szCs w:val="16"/>
    </w:rPr>
  </w:style>
  <w:style w:type="character" w:customStyle="1" w:styleId="BalloonTextChar">
    <w:name w:val="Balloon Text Char"/>
    <w:basedOn w:val="DefaultParagraphFont"/>
    <w:link w:val="BalloonText"/>
    <w:rsid w:val="00E87DA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2529</Words>
  <Characters>14419</Characters>
  <Application>Microsoft Office Word</Application>
  <DocSecurity>0</DocSecurity>
  <Lines>120</Lines>
  <Paragraphs>33</Paragraphs>
  <ScaleCrop>false</ScaleCrop>
  <Company/>
  <LinksUpToDate>false</LinksUpToDate>
  <CharactersWithSpaces>16915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faraclas</dc:creator>
  <cp:keywords/>
  <dc:description/>
  <cp:lastModifiedBy>john faraclas</cp:lastModifiedBy>
  <cp:revision>1</cp:revision>
  <dcterms:created xsi:type="dcterms:W3CDTF">2016-11-18T01:14:00Z</dcterms:created>
  <dcterms:modified xsi:type="dcterms:W3CDTF">2016-11-18T01:16:00Z</dcterms:modified>
</cp:coreProperties>
</file>